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8C5299" w:rsidP="00E244E2">
      <w:pPr>
        <w:jc w:val="center"/>
        <w:rPr>
          <w:b/>
        </w:rPr>
      </w:pPr>
      <w:r>
        <w:rPr>
          <w:b/>
        </w:rPr>
        <w:t>BALANÇO GERAL</w:t>
      </w:r>
    </w:p>
    <w:p w:rsidR="00316FC7" w:rsidRPr="000D128D" w:rsidRDefault="00A765A5" w:rsidP="00E244E2">
      <w:pPr>
        <w:jc w:val="center"/>
        <w:rPr>
          <w:b/>
        </w:rPr>
      </w:pPr>
      <w:r>
        <w:rPr>
          <w:b/>
        </w:rPr>
        <w:t>Exercício 2014</w:t>
      </w:r>
    </w:p>
    <w:p w:rsidR="00E244E2" w:rsidRDefault="00E244E2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911AEC" w:rsidRDefault="00911AEC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020CE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</w:t>
      </w:r>
      <w:r w:rsidR="00020CE8">
        <w:t>do de Mato Grosso do Sul TCE/MS e conforme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BF5A7C">
        <w:t xml:space="preserve"> o Balanço Geral</w:t>
      </w:r>
      <w:r w:rsidR="00316FC7">
        <w:t xml:space="preserve"> </w:t>
      </w:r>
      <w:r w:rsidR="00BF5A7C">
        <w:t>do Município de Anastácio</w:t>
      </w:r>
      <w:r w:rsidR="00316FC7">
        <w:t xml:space="preserve"> r</w:t>
      </w:r>
      <w:r w:rsidR="003C4A43">
        <w:t>elativo</w:t>
      </w:r>
      <w:r w:rsidR="00A765A5">
        <w:t xml:space="preserve"> ao exercício de 2014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</w:t>
      </w:r>
      <w:r w:rsidR="00BF5A7C">
        <w:t>ção Financeira e Patrimonial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1 - EXECUÇÃO ORÇAMENTÁRIA:</w:t>
      </w:r>
    </w:p>
    <w:p w:rsidR="00BF5A7C" w:rsidRDefault="00BF5A7C" w:rsidP="00BF5A7C">
      <w:pPr>
        <w:jc w:val="both"/>
      </w:pPr>
    </w:p>
    <w:p w:rsidR="00BF5A7C" w:rsidRDefault="00BF5A7C" w:rsidP="00BF5A7C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BF5A7C" w:rsidRDefault="00BF5A7C" w:rsidP="00BF5A7C">
      <w:pPr>
        <w:ind w:firstLine="2835"/>
        <w:jc w:val="both"/>
      </w:pPr>
      <w:r>
        <w:t>Essa execução foi em resumo:</w:t>
      </w:r>
    </w:p>
    <w:p w:rsidR="00BF5A7C" w:rsidRDefault="00BF5A7C" w:rsidP="00BF5A7C">
      <w:pPr>
        <w:jc w:val="both"/>
      </w:pPr>
    </w:p>
    <w:tbl>
      <w:tblPr>
        <w:tblW w:w="9186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534"/>
        <w:gridCol w:w="3119"/>
        <w:gridCol w:w="1556"/>
      </w:tblGrid>
      <w:tr w:rsidR="00F00EB9" w:rsidTr="00F00EB9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RECEITAS CORRENTES E DE CAPITAL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DESPESAS CORRENTES E DE CAPITAL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00EB9" w:rsidRDefault="00F00EB9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F00EB9" w:rsidTr="00F00EB9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>Previsão (a)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right"/>
            </w:pPr>
            <w:r>
              <w:t>36.266.000,00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>Liquidadas (c)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right"/>
            </w:pPr>
            <w:r>
              <w:t>23.667.130,17</w:t>
            </w:r>
          </w:p>
        </w:tc>
      </w:tr>
      <w:tr w:rsidR="00F00EB9" w:rsidTr="00F00EB9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 xml:space="preserve">Realizadas </w:t>
            </w:r>
            <w:r>
              <w:t>(b)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right"/>
            </w:pPr>
            <w:r>
              <w:t>34.832.030,36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>Pagas (d)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right"/>
            </w:pPr>
            <w:r>
              <w:t>23.662.861,77</w:t>
            </w:r>
          </w:p>
        </w:tc>
      </w:tr>
      <w:tr w:rsidR="00F00EB9" w:rsidTr="00F00EB9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>Diferença (b – a)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right"/>
            </w:pPr>
            <w:r>
              <w:t>-1.433.969,64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B9" w:rsidRDefault="00F00EB9" w:rsidP="00446C48">
            <w:pPr>
              <w:jc w:val="both"/>
            </w:pPr>
            <w:r>
              <w:t>Diferença (d-c)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B9" w:rsidRDefault="00911AEC" w:rsidP="00F00EB9">
            <w:pPr>
              <w:jc w:val="right"/>
            </w:pPr>
            <w:r>
              <w:t>-4.268,40</w:t>
            </w:r>
            <w:r w:rsidR="00F00EB9">
              <w:t xml:space="preserve">  </w:t>
            </w:r>
          </w:p>
        </w:tc>
      </w:tr>
    </w:tbl>
    <w:p w:rsidR="00BF5A7C" w:rsidRDefault="00BF5A7C" w:rsidP="00BF5A7C">
      <w:pPr>
        <w:ind w:firstLine="2835"/>
        <w:jc w:val="both"/>
      </w:pPr>
    </w:p>
    <w:p w:rsidR="00BF5A7C" w:rsidRDefault="00BF5A7C" w:rsidP="00BF5A7C">
      <w:pPr>
        <w:ind w:firstLine="567"/>
        <w:jc w:val="both"/>
        <w:rPr>
          <w:b/>
        </w:rPr>
      </w:pPr>
      <w:r>
        <w:rPr>
          <w:b/>
        </w:rPr>
        <w:t>1.1 - RECEITA ORÇAMENTÁRIA:</w:t>
      </w:r>
    </w:p>
    <w:p w:rsidR="00BF5A7C" w:rsidRDefault="00BF5A7C" w:rsidP="00BF5A7C">
      <w:pPr>
        <w:ind w:firstLine="567"/>
        <w:jc w:val="both"/>
      </w:pPr>
    </w:p>
    <w:p w:rsidR="00BF5A7C" w:rsidRDefault="00BF5A7C" w:rsidP="00BF5A7C">
      <w:pPr>
        <w:ind w:firstLine="2835"/>
        <w:jc w:val="both"/>
      </w:pPr>
      <w:r>
        <w:t>A Receita Orçamentária Arrecadada alcançou os seguintes montantes e índices em relação à arrecadação total (resumo):</w:t>
      </w:r>
    </w:p>
    <w:p w:rsidR="00BF5A7C" w:rsidRDefault="00BF5A7C" w:rsidP="00BF5A7C">
      <w:pPr>
        <w:jc w:val="both"/>
        <w:rPr>
          <w:sz w:val="20"/>
          <w:szCs w:val="20"/>
        </w:rPr>
      </w:pPr>
    </w:p>
    <w:p w:rsidR="00911AEC" w:rsidRPr="00FE3EC7" w:rsidRDefault="00911AEC" w:rsidP="00BF5A7C">
      <w:pPr>
        <w:jc w:val="both"/>
        <w:rPr>
          <w:sz w:val="20"/>
          <w:szCs w:val="20"/>
        </w:rPr>
      </w:pPr>
    </w:p>
    <w:p w:rsidR="00BF5A7C" w:rsidRDefault="00BF5A7C" w:rsidP="00BF5A7C">
      <w:pPr>
        <w:jc w:val="both"/>
      </w:pPr>
    </w:p>
    <w:tbl>
      <w:tblPr>
        <w:tblW w:w="6801" w:type="dxa"/>
        <w:jc w:val="center"/>
        <w:tblCellMar>
          <w:left w:w="70" w:type="dxa"/>
          <w:right w:w="70" w:type="dxa"/>
        </w:tblCellMar>
        <w:tblLook w:val="04A0"/>
      </w:tblPr>
      <w:tblGrid>
        <w:gridCol w:w="3821"/>
        <w:gridCol w:w="2020"/>
        <w:gridCol w:w="960"/>
      </w:tblGrid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R$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%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RECEITAS ORÇAMENTÁRIAS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>RECEITAS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Receita Tributária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2.829.000,00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6,70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Receita de Contribuições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   500.000,00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1,19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Receita Patrimonial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     70.000,00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0,17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Receita de Serviços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     54.000,00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0,13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Transferências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bCs/>
                <w:color w:val="000000"/>
              </w:rPr>
              <w:t xml:space="preserve">        32.589.800,00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77,23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Outras Receitas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   683.200,00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1,62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 xml:space="preserve">        36.726.000,00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both"/>
              <w:rPr>
                <w:color w:val="000000"/>
              </w:rPr>
            </w:pPr>
            <w:r w:rsidRPr="00B55C29">
              <w:rPr>
                <w:color w:val="000000"/>
              </w:rPr>
              <w:t>RECEITAS DE CAPITAL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> 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rPr>
                <w:color w:val="000000"/>
              </w:rPr>
            </w:pPr>
            <w:r w:rsidRPr="00B55C29">
              <w:rPr>
                <w:bCs/>
                <w:color w:val="000000"/>
              </w:rPr>
              <w:t xml:space="preserve">    Operações de Crédito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bCs/>
                <w:color w:val="000000"/>
              </w:rPr>
              <w:t xml:space="preserve">               50.000,00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0,12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Alienação de Bens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       5.000,00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0,01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Transferências de Capital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      5.415.000,00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C29" w:rsidRPr="00B55C29" w:rsidRDefault="00B55C29" w:rsidP="00B55C29">
            <w:pPr>
              <w:jc w:val="right"/>
              <w:rPr>
                <w:color w:val="000000"/>
              </w:rPr>
            </w:pPr>
            <w:r w:rsidRPr="00B55C29">
              <w:rPr>
                <w:color w:val="000000"/>
              </w:rPr>
              <w:t xml:space="preserve">    12,83 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 xml:space="preserve">          5.470.000,00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5C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55C29" w:rsidRPr="00B55C29" w:rsidTr="00911AEC">
        <w:trPr>
          <w:trHeight w:val="300"/>
          <w:jc w:val="center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 xml:space="preserve">        42.196.000,00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C29" w:rsidRPr="00B55C29" w:rsidRDefault="00B55C29" w:rsidP="00B55C29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 xml:space="preserve">  100,00 </w:t>
            </w:r>
          </w:p>
        </w:tc>
      </w:tr>
    </w:tbl>
    <w:p w:rsidR="002C64E8" w:rsidRDefault="002C64E8" w:rsidP="00BF5A7C">
      <w:pPr>
        <w:jc w:val="both"/>
      </w:pPr>
    </w:p>
    <w:p w:rsidR="002C64E8" w:rsidRDefault="005667A8" w:rsidP="005667A8">
      <w:pPr>
        <w:pStyle w:val="PargrafodaLista"/>
        <w:numPr>
          <w:ilvl w:val="2"/>
          <w:numId w:val="1"/>
        </w:numPr>
        <w:jc w:val="both"/>
        <w:rPr>
          <w:b/>
        </w:rPr>
      </w:pPr>
      <w:r w:rsidRPr="005667A8">
        <w:rPr>
          <w:b/>
        </w:rPr>
        <w:t>– DEDUÇÕES DA RECEITA</w:t>
      </w:r>
      <w:r>
        <w:rPr>
          <w:b/>
        </w:rPr>
        <w:t>:</w:t>
      </w:r>
    </w:p>
    <w:p w:rsidR="005667A8" w:rsidRDefault="005667A8" w:rsidP="005667A8">
      <w:pPr>
        <w:ind w:firstLine="2832"/>
        <w:jc w:val="both"/>
      </w:pPr>
    </w:p>
    <w:p w:rsidR="005667A8" w:rsidRDefault="005667A8" w:rsidP="005667A8">
      <w:pPr>
        <w:ind w:firstLine="2832"/>
        <w:jc w:val="both"/>
      </w:pPr>
      <w:r>
        <w:t xml:space="preserve">A Receita Orçamentária Arrecadada </w:t>
      </w:r>
      <w:r w:rsidR="00631C56">
        <w:t>teve a seguinte dedução</w:t>
      </w:r>
      <w:r w:rsidR="00C51626">
        <w:t>,</w:t>
      </w:r>
      <w:r w:rsidR="00631C56">
        <w:t xml:space="preserve"> em resumo</w:t>
      </w:r>
      <w:r>
        <w:t>:</w:t>
      </w:r>
    </w:p>
    <w:p w:rsidR="005667A8" w:rsidRDefault="005667A8" w:rsidP="005667A8">
      <w:pPr>
        <w:pStyle w:val="PargrafodaLista"/>
        <w:ind w:left="2130"/>
        <w:jc w:val="both"/>
        <w:rPr>
          <w:b/>
        </w:rPr>
      </w:pPr>
    </w:p>
    <w:tbl>
      <w:tblPr>
        <w:tblW w:w="8413" w:type="dxa"/>
        <w:jc w:val="center"/>
        <w:tblCellMar>
          <w:left w:w="70" w:type="dxa"/>
          <w:right w:w="70" w:type="dxa"/>
        </w:tblCellMar>
        <w:tblLook w:val="04A0"/>
      </w:tblPr>
      <w:tblGrid>
        <w:gridCol w:w="6783"/>
        <w:gridCol w:w="1630"/>
      </w:tblGrid>
      <w:tr w:rsidR="005667A8" w:rsidRPr="00B55C29" w:rsidTr="005667A8">
        <w:trPr>
          <w:trHeight w:val="300"/>
          <w:jc w:val="center"/>
        </w:trPr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center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R$</w:t>
            </w:r>
          </w:p>
        </w:tc>
      </w:tr>
      <w:tr w:rsidR="005667A8" w:rsidRPr="00B55C29" w:rsidTr="005667A8">
        <w:trPr>
          <w:trHeight w:val="300"/>
          <w:jc w:val="center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DEDUÇÕES DA RECEITA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right"/>
              <w:rPr>
                <w:b/>
                <w:bCs/>
                <w:color w:val="000000"/>
              </w:rPr>
            </w:pPr>
            <w:r w:rsidRPr="00B55C29">
              <w:rPr>
                <w:b/>
                <w:bCs/>
                <w:color w:val="000000"/>
              </w:rPr>
              <w:t> </w:t>
            </w:r>
          </w:p>
        </w:tc>
      </w:tr>
      <w:tr w:rsidR="005667A8" w:rsidRPr="005667A8" w:rsidTr="005667A8">
        <w:trPr>
          <w:trHeight w:val="300"/>
          <w:jc w:val="center"/>
        </w:trPr>
        <w:tc>
          <w:tcPr>
            <w:tcW w:w="6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both"/>
              <w:rPr>
                <w:color w:val="000000"/>
              </w:rPr>
            </w:pPr>
            <w:r w:rsidRPr="005667A8">
              <w:rPr>
                <w:color w:val="000000"/>
              </w:rPr>
              <w:t>DEDUÇÃO DA RECEITA PARA FORMAÇÃO DO FUNDEB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7A8" w:rsidRPr="00B55C29" w:rsidRDefault="005667A8" w:rsidP="00446C48">
            <w:pPr>
              <w:jc w:val="right"/>
              <w:rPr>
                <w:bCs/>
                <w:color w:val="000000"/>
              </w:rPr>
            </w:pPr>
            <w:r w:rsidRPr="005667A8">
              <w:rPr>
                <w:bCs/>
                <w:color w:val="000000"/>
              </w:rPr>
              <w:t>5.587.227,14</w:t>
            </w:r>
            <w:r w:rsidRPr="00B55C29">
              <w:rPr>
                <w:bCs/>
                <w:color w:val="000000"/>
              </w:rPr>
              <w:t> </w:t>
            </w:r>
          </w:p>
        </w:tc>
      </w:tr>
    </w:tbl>
    <w:p w:rsidR="005667A8" w:rsidRDefault="005667A8" w:rsidP="00BF5A7C">
      <w:pPr>
        <w:jc w:val="both"/>
      </w:pPr>
    </w:p>
    <w:p w:rsidR="005667A8" w:rsidRDefault="005667A8" w:rsidP="00BF5A7C">
      <w:pPr>
        <w:jc w:val="both"/>
      </w:pPr>
    </w:p>
    <w:p w:rsidR="00BF5A7C" w:rsidRDefault="00BF5A7C" w:rsidP="00BF5A7C">
      <w:pPr>
        <w:ind w:firstLine="567"/>
        <w:jc w:val="both"/>
        <w:rPr>
          <w:b/>
        </w:rPr>
      </w:pPr>
      <w:r>
        <w:rPr>
          <w:b/>
        </w:rPr>
        <w:t>1.2 - DESPESA ORÇAMENTÁRIA:</w:t>
      </w:r>
    </w:p>
    <w:p w:rsidR="002C64E8" w:rsidRPr="00FE3EC7" w:rsidRDefault="002C64E8" w:rsidP="00BF5A7C">
      <w:pPr>
        <w:jc w:val="both"/>
        <w:rPr>
          <w:sz w:val="20"/>
          <w:szCs w:val="20"/>
        </w:rPr>
      </w:pPr>
    </w:p>
    <w:p w:rsidR="00BF5A7C" w:rsidRDefault="00BF5A7C" w:rsidP="00BF5A7C">
      <w:pPr>
        <w:ind w:firstLine="2835"/>
        <w:jc w:val="both"/>
      </w:pPr>
      <w:r>
        <w:t>A Despesa Orçamentária</w:t>
      </w:r>
      <w:r w:rsidR="00911AEC">
        <w:t xml:space="preserve"> Paga,</w:t>
      </w:r>
      <w:r>
        <w:t xml:space="preserve"> foi assim realizada:</w:t>
      </w:r>
    </w:p>
    <w:p w:rsidR="00911AEC" w:rsidRPr="00FE3EC7" w:rsidRDefault="00911AEC" w:rsidP="00BF5A7C">
      <w:pPr>
        <w:jc w:val="both"/>
        <w:rPr>
          <w:b/>
          <w:color w:val="FF0000"/>
          <w:sz w:val="20"/>
          <w:szCs w:val="20"/>
        </w:rPr>
      </w:pPr>
    </w:p>
    <w:tbl>
      <w:tblPr>
        <w:tblW w:w="6671" w:type="dxa"/>
        <w:jc w:val="center"/>
        <w:tblCellMar>
          <w:left w:w="70" w:type="dxa"/>
          <w:right w:w="70" w:type="dxa"/>
        </w:tblCellMar>
        <w:tblLook w:val="04A0"/>
      </w:tblPr>
      <w:tblGrid>
        <w:gridCol w:w="3691"/>
        <w:gridCol w:w="2020"/>
        <w:gridCol w:w="960"/>
      </w:tblGrid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R$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%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DESPESAS ORÇAMENTÁRIAS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>DESPESAS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Pessoal e encargos sociais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11.478.110,85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48,59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Juros e encargos da dívida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3.748,63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0,02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Outras despesas correntes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8.757.688,06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37,07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lastRenderedPageBreak/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20.239.547,54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ED" w:rsidRPr="006C0DED" w:rsidRDefault="006C0DED" w:rsidP="006C0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D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both"/>
              <w:rPr>
                <w:color w:val="000000"/>
              </w:rPr>
            </w:pPr>
            <w:r w:rsidRPr="006C0DED">
              <w:rPr>
                <w:color w:val="000000"/>
              </w:rPr>
              <w:t>DESPESAS DE CAPITAL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rPr>
                <w:color w:val="000000"/>
              </w:rPr>
            </w:pPr>
            <w:r w:rsidRPr="006C0DED">
              <w:rPr>
                <w:bCs/>
                <w:color w:val="000000"/>
              </w:rPr>
              <w:t xml:space="preserve">    Investimentos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bCs/>
                <w:color w:val="000000"/>
              </w:rPr>
              <w:t>2.241.948,48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9,49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rPr>
                <w:color w:val="000000"/>
              </w:rPr>
            </w:pPr>
            <w:r w:rsidRPr="006C0DED">
              <w:rPr>
                <w:color w:val="000000"/>
              </w:rPr>
              <w:t xml:space="preserve">    Amortização da dívida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1.141.365,75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0DED" w:rsidRPr="006C0DED" w:rsidRDefault="006C0DED" w:rsidP="006C0DED">
            <w:pPr>
              <w:jc w:val="right"/>
              <w:rPr>
                <w:color w:val="000000"/>
              </w:rPr>
            </w:pPr>
            <w:r w:rsidRPr="006C0DED">
              <w:rPr>
                <w:color w:val="000000"/>
              </w:rPr>
              <w:t>4,83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SUB TOTAL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3.383.314,23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0D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0DED" w:rsidRPr="006C0DED" w:rsidTr="006C0DED">
        <w:trPr>
          <w:trHeight w:val="300"/>
          <w:jc w:val="center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center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23.622.861,77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0DED" w:rsidRPr="006C0DED" w:rsidRDefault="006C0DED" w:rsidP="006C0DED">
            <w:pPr>
              <w:jc w:val="right"/>
              <w:rPr>
                <w:b/>
                <w:bCs/>
                <w:color w:val="000000"/>
              </w:rPr>
            </w:pPr>
            <w:r w:rsidRPr="006C0DED">
              <w:rPr>
                <w:b/>
                <w:bCs/>
                <w:color w:val="000000"/>
              </w:rPr>
              <w:t>100,00</w:t>
            </w:r>
          </w:p>
        </w:tc>
      </w:tr>
    </w:tbl>
    <w:p w:rsidR="005667A8" w:rsidRDefault="005667A8" w:rsidP="00BF5A7C">
      <w:pPr>
        <w:jc w:val="both"/>
        <w:rPr>
          <w:b/>
        </w:rPr>
      </w:pPr>
    </w:p>
    <w:p w:rsidR="005667A8" w:rsidRDefault="005667A8" w:rsidP="00BF5A7C">
      <w:pPr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2 - BALANÇO FINANCEIRO:</w:t>
      </w:r>
    </w:p>
    <w:p w:rsidR="00BF5A7C" w:rsidRDefault="00BF5A7C" w:rsidP="00BF5A7C">
      <w:pPr>
        <w:ind w:firstLine="2835"/>
        <w:jc w:val="both"/>
      </w:pPr>
    </w:p>
    <w:p w:rsidR="002C64E8" w:rsidRDefault="002C64E8" w:rsidP="00BF5A7C">
      <w:pPr>
        <w:ind w:firstLine="2835"/>
        <w:jc w:val="both"/>
      </w:pPr>
    </w:p>
    <w:p w:rsidR="00BF5A7C" w:rsidRDefault="00BF5A7C" w:rsidP="00BF5A7C">
      <w:pPr>
        <w:ind w:firstLine="2835"/>
        <w:jc w:val="both"/>
      </w:pPr>
      <w:r>
        <w:t>O movimento de numerário (entrada e saída de recursos financeiros) durante o exercício é demonstrado no Balanço Financeiro, no qual se evidenciam as disponibilidades existentes no início e no fim daquele período, correspondente à demonstração do Fluxo de Caixa.</w:t>
      </w:r>
    </w:p>
    <w:p w:rsidR="002C64E8" w:rsidRDefault="002C64E8" w:rsidP="00BF5A7C">
      <w:pPr>
        <w:ind w:firstLine="2835"/>
        <w:jc w:val="both"/>
      </w:pPr>
    </w:p>
    <w:p w:rsidR="00BF5A7C" w:rsidRDefault="00BF5A7C" w:rsidP="00BF5A7C">
      <w:pPr>
        <w:ind w:firstLine="2835"/>
        <w:jc w:val="both"/>
      </w:pPr>
      <w:r>
        <w:t>Por meio desse Balanço, se pode avaliar não apenas as disponibi</w:t>
      </w:r>
      <w:r w:rsidR="004C5B4E">
        <w:t>lidades imediatas mas</w:t>
      </w:r>
      <w:r>
        <w:t xml:space="preserve"> sobretudo, a natureza das rendas e dos recebimentos de valores de espécies variadas e sua aplicação em despesas e outras destina</w:t>
      </w:r>
      <w:r w:rsidR="005F20C5">
        <w:t>ções. O Balanço Financeiro do</w:t>
      </w:r>
      <w:r>
        <w:t xml:space="preserve"> </w:t>
      </w:r>
      <w:r w:rsidR="004C5B4E">
        <w:t>Município</w:t>
      </w:r>
      <w:r>
        <w:t xml:space="preserve"> </w:t>
      </w:r>
      <w:r w:rsidR="005F20C5">
        <w:t xml:space="preserve">de Anastácio </w:t>
      </w:r>
      <w:r>
        <w:t>relati</w:t>
      </w:r>
      <w:r w:rsidR="006F1796">
        <w:t>vo ao ex</w:t>
      </w:r>
      <w:r w:rsidR="005F20C5">
        <w:t>ercício de 2014</w:t>
      </w:r>
      <w:r>
        <w:t xml:space="preserve"> pode ser assim resumido:</w:t>
      </w:r>
    </w:p>
    <w:p w:rsidR="00BF5A7C" w:rsidRDefault="00BF5A7C" w:rsidP="00BF5A7C">
      <w:pPr>
        <w:jc w:val="both"/>
      </w:pPr>
    </w:p>
    <w:tbl>
      <w:tblPr>
        <w:tblW w:w="948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835"/>
        <w:gridCol w:w="1665"/>
        <w:gridCol w:w="2099"/>
        <w:gridCol w:w="1883"/>
      </w:tblGrid>
      <w:tr w:rsidR="005F20C5" w:rsidTr="00031B68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INGRESSOS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099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DISPÊNDIOS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5F20C5" w:rsidTr="00031B6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5F20C5" w:rsidP="00446C48">
            <w:pPr>
              <w:jc w:val="both"/>
            </w:pPr>
            <w:r>
              <w:t>Receita Orçamentária</w:t>
            </w:r>
          </w:p>
          <w:p w:rsidR="005F20C5" w:rsidRDefault="00031B68" w:rsidP="00446C48">
            <w:pPr>
              <w:jc w:val="both"/>
            </w:pPr>
            <w:r>
              <w:t xml:space="preserve">    .</w:t>
            </w:r>
            <w:r w:rsidR="005F20C5">
              <w:t>Ordinária</w:t>
            </w:r>
          </w:p>
          <w:p w:rsidR="00031B68" w:rsidRDefault="00031B68" w:rsidP="00446C48">
            <w:pPr>
              <w:jc w:val="both"/>
            </w:pPr>
            <w:r>
              <w:t xml:space="preserve">    .Deduções da Receita Orçamentária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B68" w:rsidRDefault="00031B68" w:rsidP="00446C48">
            <w:pPr>
              <w:jc w:val="right"/>
            </w:pPr>
          </w:p>
          <w:p w:rsidR="005F20C5" w:rsidRDefault="005F20C5" w:rsidP="00446C48">
            <w:pPr>
              <w:jc w:val="right"/>
            </w:pPr>
            <w:r>
              <w:t>40.419.257,50</w:t>
            </w:r>
          </w:p>
          <w:p w:rsidR="00031B68" w:rsidRPr="00623F1F" w:rsidRDefault="00031B68" w:rsidP="00446C48">
            <w:pPr>
              <w:jc w:val="right"/>
            </w:pPr>
            <w:r>
              <w:t>-5.587.227,14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5F20C5" w:rsidP="00446C48">
            <w:pPr>
              <w:jc w:val="both"/>
            </w:pPr>
            <w:r>
              <w:t>Despesa Orçamentária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031B68" w:rsidP="00446C48">
            <w:pPr>
              <w:jc w:val="right"/>
            </w:pPr>
            <w:r>
              <w:t>23.692.130,17</w:t>
            </w:r>
          </w:p>
        </w:tc>
      </w:tr>
      <w:tr w:rsidR="005F20C5" w:rsidTr="00031B6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5F20C5" w:rsidP="00031B68">
            <w:pPr>
              <w:jc w:val="both"/>
            </w:pPr>
            <w:r>
              <w:t>Transferência Financeira Recebida (</w:t>
            </w:r>
            <w:r w:rsidR="00031B68">
              <w:t xml:space="preserve">Recebimentos </w:t>
            </w:r>
            <w:r>
              <w:t>FM</w:t>
            </w:r>
            <w:r w:rsidR="00031B68">
              <w:t>AD</w:t>
            </w:r>
            <w: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031B68" w:rsidP="00446C48">
            <w:pPr>
              <w:jc w:val="right"/>
            </w:pPr>
            <w:r>
              <w:t>25.000,00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031B68" w:rsidP="00446C48">
            <w:pPr>
              <w:jc w:val="both"/>
            </w:pPr>
            <w:r>
              <w:t>Transferências Financeiras Concedidas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0C5" w:rsidRDefault="00031B68" w:rsidP="00446C48">
            <w:pPr>
              <w:jc w:val="right"/>
            </w:pPr>
            <w:r>
              <w:t>9.868.653,37</w:t>
            </w:r>
          </w:p>
        </w:tc>
      </w:tr>
      <w:tr w:rsidR="00031B68" w:rsidTr="00031B6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>Recebimentos extra-orçamentários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right"/>
            </w:pPr>
            <w:r>
              <w:t>1.960.248,41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>Pagamentos extra-orçamentários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right"/>
            </w:pPr>
            <w:r>
              <w:t>1.890.045,87</w:t>
            </w:r>
          </w:p>
        </w:tc>
      </w:tr>
      <w:tr w:rsidR="00031B68" w:rsidTr="00031B6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>Saldo em espécie do exercício anterior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right"/>
            </w:pPr>
            <w:r>
              <w:t>802.263,61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both"/>
            </w:pPr>
            <w:r>
              <w:t>Saldo em espécie para o exercício seguinte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B68" w:rsidRDefault="00031B68" w:rsidP="00446C48">
            <w:pPr>
              <w:jc w:val="right"/>
            </w:pPr>
            <w:r>
              <w:t>2.168.712,97</w:t>
            </w:r>
          </w:p>
        </w:tc>
      </w:tr>
      <w:tr w:rsidR="005F20C5" w:rsidTr="00031B68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C5" w:rsidRDefault="00031B68" w:rsidP="00446C48">
            <w:pPr>
              <w:jc w:val="right"/>
              <w:rPr>
                <w:b/>
              </w:rPr>
            </w:pPr>
            <w:r>
              <w:rPr>
                <w:b/>
              </w:rPr>
              <w:t>37.619.542,38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5F20C5" w:rsidRDefault="005F20C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C5" w:rsidRDefault="00031B68" w:rsidP="00446C48">
            <w:pPr>
              <w:jc w:val="right"/>
              <w:rPr>
                <w:b/>
              </w:rPr>
            </w:pPr>
            <w:r>
              <w:rPr>
                <w:b/>
              </w:rPr>
              <w:t>37.619.542,38</w:t>
            </w:r>
          </w:p>
        </w:tc>
      </w:tr>
    </w:tbl>
    <w:p w:rsidR="005F20C5" w:rsidRDefault="005F20C5" w:rsidP="00BF5A7C">
      <w:pPr>
        <w:jc w:val="both"/>
      </w:pPr>
    </w:p>
    <w:p w:rsidR="00BF5A7C" w:rsidRDefault="00BF5A7C" w:rsidP="00BF5A7C">
      <w:pPr>
        <w:ind w:firstLine="2835"/>
        <w:jc w:val="both"/>
      </w:pPr>
      <w:r>
        <w:t>A maior fonte da receita</w:t>
      </w:r>
      <w:r w:rsidR="005667A8">
        <w:t xml:space="preserve"> orçamentária verificou-se nas T</w:t>
      </w:r>
      <w:r>
        <w:t xml:space="preserve">ransferências </w:t>
      </w:r>
      <w:r w:rsidR="005667A8">
        <w:t>C</w:t>
      </w:r>
      <w:r w:rsidR="00ED506D">
        <w:t>orrentes</w:t>
      </w:r>
      <w:r w:rsidR="005667A8">
        <w:t xml:space="preserve"> com </w:t>
      </w:r>
      <w:r w:rsidR="005667A8" w:rsidRPr="00B55C29">
        <w:rPr>
          <w:color w:val="000000"/>
        </w:rPr>
        <w:t>77,23</w:t>
      </w:r>
      <w:r w:rsidR="005667A8">
        <w:rPr>
          <w:color w:val="000000"/>
        </w:rPr>
        <w:t xml:space="preserve">%, sendo que a segunda maior fonte foi observado nas Transferências de Capital com 12,83% e as demais receitas contribuíram com </w:t>
      </w:r>
      <w:r w:rsidR="005667A8">
        <w:t>9,94%.</w:t>
      </w:r>
    </w:p>
    <w:p w:rsidR="00BF5A7C" w:rsidRDefault="00BF5A7C" w:rsidP="00BF5A7C">
      <w:pPr>
        <w:jc w:val="both"/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3 - BALANÇO PATRIMONIAL:</w:t>
      </w:r>
    </w:p>
    <w:p w:rsidR="00BF5A7C" w:rsidRDefault="00BF5A7C" w:rsidP="00BF5A7C">
      <w:pPr>
        <w:jc w:val="both"/>
      </w:pPr>
    </w:p>
    <w:p w:rsidR="00BF5A7C" w:rsidRDefault="00BF5A7C" w:rsidP="0089504F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  <w:r w:rsidR="0089504F">
        <w:t xml:space="preserve"> </w:t>
      </w:r>
      <w:r w:rsidR="00A94CED">
        <w:t>O exercício de 2014</w:t>
      </w:r>
      <w:r>
        <w:t xml:space="preserve"> revelou a seguinte situação, em resumo, para o Patrimônio do Município</w:t>
      </w:r>
      <w:r w:rsidR="00A94CED">
        <w:t xml:space="preserve"> de Anastácio</w:t>
      </w:r>
      <w:r w:rsidR="002A6441">
        <w:t>:</w:t>
      </w:r>
    </w:p>
    <w:p w:rsidR="00BF5A7C" w:rsidRDefault="00BF5A7C" w:rsidP="00BF5A7C">
      <w:pPr>
        <w:jc w:val="both"/>
      </w:pPr>
    </w:p>
    <w:tbl>
      <w:tblPr>
        <w:tblW w:w="973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588"/>
        <w:gridCol w:w="3373"/>
        <w:gridCol w:w="1588"/>
      </w:tblGrid>
      <w:tr w:rsidR="00A94CED" w:rsidTr="00446C4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CED" w:rsidRDefault="00A94CED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A94CED" w:rsidTr="00446C4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ATIVO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right"/>
            </w:pPr>
            <w:r>
              <w:t>2.168.712,97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PASSIVO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right"/>
            </w:pPr>
            <w:r>
              <w:t>232.676,66</w:t>
            </w:r>
          </w:p>
        </w:tc>
      </w:tr>
      <w:tr w:rsidR="00A94CED" w:rsidTr="00446C4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A94CED" w:rsidP="00446C48">
            <w:pPr>
              <w:jc w:val="both"/>
            </w:pPr>
            <w:r>
              <w:t>ATIVO NÃO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right"/>
            </w:pPr>
            <w:r>
              <w:t>20.558.434,02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both"/>
            </w:pPr>
            <w:r>
              <w:t>PASSIVO NÃO CIRCULANTE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ED" w:rsidRDefault="008B42E5" w:rsidP="00446C48">
            <w:pPr>
              <w:jc w:val="right"/>
            </w:pPr>
            <w:r>
              <w:t>1.117.113,00</w:t>
            </w:r>
          </w:p>
        </w:tc>
      </w:tr>
      <w:tr w:rsidR="008B42E5" w:rsidTr="00446C4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Default="008B42E5" w:rsidP="00446C48">
            <w:pPr>
              <w:jc w:val="right"/>
              <w:rPr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B42E5" w:rsidRDefault="008B42E5" w:rsidP="00446C48">
            <w:pPr>
              <w:jc w:val="both"/>
            </w:pPr>
            <w:r>
              <w:t>PATRIMÔNIO LÍQUIDO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Default="008B42E5" w:rsidP="00446C48">
            <w:pPr>
              <w:jc w:val="right"/>
            </w:pPr>
            <w:r>
              <w:t>21.377.357,33</w:t>
            </w:r>
          </w:p>
        </w:tc>
      </w:tr>
      <w:tr w:rsidR="008B42E5" w:rsidTr="00446C4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Pr="008B42E5" w:rsidRDefault="008B42E5" w:rsidP="008B42E5">
            <w:pPr>
              <w:jc w:val="right"/>
              <w:rPr>
                <w:b/>
                <w:color w:val="000000"/>
              </w:rPr>
            </w:pPr>
            <w:r w:rsidRPr="008B42E5">
              <w:rPr>
                <w:b/>
                <w:color w:val="000000"/>
              </w:rPr>
              <w:t>22.727.146,99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B42E5" w:rsidRDefault="008B42E5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E5" w:rsidRPr="008B42E5" w:rsidRDefault="008B42E5" w:rsidP="00446C48">
            <w:pPr>
              <w:jc w:val="right"/>
              <w:rPr>
                <w:b/>
                <w:color w:val="000000"/>
              </w:rPr>
            </w:pPr>
            <w:r w:rsidRPr="008B42E5">
              <w:rPr>
                <w:b/>
                <w:color w:val="000000"/>
              </w:rPr>
              <w:t>22.727.146,99</w:t>
            </w:r>
          </w:p>
        </w:tc>
      </w:tr>
    </w:tbl>
    <w:p w:rsidR="002A6441" w:rsidRDefault="002A6441" w:rsidP="00BF5A7C">
      <w:pPr>
        <w:jc w:val="both"/>
      </w:pPr>
    </w:p>
    <w:p w:rsidR="00BF5A7C" w:rsidRPr="00B75D52" w:rsidRDefault="008B42E5" w:rsidP="002A6441">
      <w:pPr>
        <w:ind w:firstLine="2832"/>
        <w:jc w:val="both"/>
        <w:rPr>
          <w:rFonts w:ascii="Arial" w:hAnsi="Arial" w:cs="Arial"/>
          <w:sz w:val="20"/>
          <w:szCs w:val="20"/>
        </w:rPr>
      </w:pPr>
      <w:r>
        <w:t>O exercício encerrou</w:t>
      </w:r>
      <w:r w:rsidR="00BF5A7C" w:rsidRPr="00B75D52">
        <w:t>, com uma situação positiva</w:t>
      </w:r>
      <w:r w:rsidR="00BF5A7C">
        <w:t>, conforme pode ser constatado</w:t>
      </w:r>
      <w:r w:rsidR="00512B0B">
        <w:t xml:space="preserve"> observando-se o Ativo </w:t>
      </w:r>
      <w:r>
        <w:t xml:space="preserve">e o Passivo (financeiro e permanente) </w:t>
      </w:r>
      <w:r w:rsidR="00BF5A7C">
        <w:t>demons</w:t>
      </w:r>
      <w:r w:rsidR="00512B0B">
        <w:t>trado</w:t>
      </w:r>
      <w:r w:rsidR="00BF5A7C">
        <w:t xml:space="preserve"> do quadro correspondente</w:t>
      </w:r>
      <w:r>
        <w:t xml:space="preserve"> que consta na 7ª peça página 3 de 3</w:t>
      </w:r>
      <w:r w:rsidR="00BF5A7C">
        <w:t xml:space="preserve">. </w:t>
      </w:r>
    </w:p>
    <w:p w:rsidR="00512B0B" w:rsidRDefault="00512B0B" w:rsidP="00BF5A7C">
      <w:pPr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3.1 - ATIVO FINANCEIRO:</w:t>
      </w:r>
    </w:p>
    <w:p w:rsidR="00512B0B" w:rsidRDefault="00512B0B" w:rsidP="00445161">
      <w:pPr>
        <w:jc w:val="both"/>
      </w:pPr>
    </w:p>
    <w:p w:rsidR="00512B0B" w:rsidRPr="002A6441" w:rsidRDefault="00BF5A7C" w:rsidP="002A6441">
      <w:pPr>
        <w:ind w:firstLine="2835"/>
        <w:jc w:val="both"/>
      </w:pPr>
      <w:r>
        <w:t xml:space="preserve"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Balanço </w:t>
      </w:r>
      <w:r w:rsidR="00497C40">
        <w:t xml:space="preserve">Geral 2014 </w:t>
      </w:r>
      <w:r>
        <w:t>demonstra</w:t>
      </w:r>
      <w:r w:rsidR="00497C40">
        <w:t xml:space="preserve"> em sua 7ª peça página 3 de 3 o Ativo Financeiro em dezembro de 2014 somava a importância de R$ 2.168.712,97</w:t>
      </w:r>
      <w:r>
        <w:t>.</w:t>
      </w:r>
    </w:p>
    <w:p w:rsidR="00497C40" w:rsidRDefault="00497C40" w:rsidP="00445161">
      <w:pPr>
        <w:jc w:val="both"/>
        <w:rPr>
          <w:b/>
        </w:rPr>
      </w:pPr>
    </w:p>
    <w:p w:rsidR="00BF5A7C" w:rsidRDefault="00D800F5" w:rsidP="00445161">
      <w:pPr>
        <w:jc w:val="both"/>
        <w:rPr>
          <w:b/>
        </w:rPr>
      </w:pPr>
      <w:r>
        <w:rPr>
          <w:b/>
        </w:rPr>
        <w:t>3.2</w:t>
      </w:r>
      <w:r w:rsidR="00BF5A7C">
        <w:rPr>
          <w:b/>
        </w:rPr>
        <w:t xml:space="preserve"> - ATIVO PERMANENTE:</w:t>
      </w:r>
    </w:p>
    <w:p w:rsidR="00553377" w:rsidRPr="00553377" w:rsidRDefault="00553377" w:rsidP="00445161">
      <w:pPr>
        <w:jc w:val="both"/>
        <w:rPr>
          <w:b/>
        </w:rPr>
      </w:pPr>
    </w:p>
    <w:p w:rsidR="00497C40" w:rsidRDefault="00BF5A7C" w:rsidP="00497C40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  <w:r w:rsidR="00553377">
        <w:t xml:space="preserve"> </w:t>
      </w:r>
      <w:r>
        <w:t xml:space="preserve">O </w:t>
      </w:r>
      <w:r w:rsidR="00497C40">
        <w:t xml:space="preserve">total do </w:t>
      </w:r>
      <w:r>
        <w:t>Ativo Permanente do Mu</w:t>
      </w:r>
      <w:r w:rsidR="00E30027">
        <w:t>nicípio</w:t>
      </w:r>
      <w:r w:rsidR="00497C40">
        <w:t xml:space="preserve"> pode ser verificado no Balanço Geral 2014, em sua 7ª peça página 3 de 3, perfazendo, em dezembro de 2014, uma importância de R$ 20.558.434,02.</w:t>
      </w:r>
    </w:p>
    <w:p w:rsidR="0008315C" w:rsidRDefault="00497C40" w:rsidP="00497C40">
      <w:pPr>
        <w:ind w:firstLine="2835"/>
        <w:jc w:val="both"/>
        <w:rPr>
          <w:b/>
        </w:rPr>
      </w:pPr>
      <w:r>
        <w:rPr>
          <w:b/>
        </w:rPr>
        <w:t xml:space="preserve"> </w:t>
      </w:r>
    </w:p>
    <w:p w:rsidR="00BF5A7C" w:rsidRPr="00553377" w:rsidRDefault="00D800F5" w:rsidP="00BF5A7C">
      <w:pPr>
        <w:jc w:val="both"/>
        <w:rPr>
          <w:b/>
        </w:rPr>
      </w:pPr>
      <w:r>
        <w:rPr>
          <w:b/>
        </w:rPr>
        <w:t>3.3</w:t>
      </w:r>
      <w:r w:rsidR="00BF5A7C">
        <w:rPr>
          <w:b/>
        </w:rPr>
        <w:t xml:space="preserve"> - PASSIVO FINANCEIRO:</w:t>
      </w:r>
    </w:p>
    <w:p w:rsidR="0008315C" w:rsidRDefault="0008315C" w:rsidP="00BF5A7C">
      <w:pPr>
        <w:jc w:val="both"/>
      </w:pPr>
    </w:p>
    <w:p w:rsidR="0008315C" w:rsidRDefault="00BF5A7C" w:rsidP="0067644A">
      <w:pPr>
        <w:ind w:firstLine="2835"/>
        <w:jc w:val="both"/>
      </w:pPr>
      <w:r>
        <w:t>O Passivo Financeiro é constituído das exigibilidades, geralmente a curto e médio prazo, cujo resgate independa de autorização legislativa (par</w:t>
      </w:r>
      <w:r w:rsidR="0067644A">
        <w:t>ágrafo 3º, art. 105, Lei cit.), o Balanço Geral 2014 demonstra em sua 7ª peça página 3 de 3 o total do Passivo Financeiro em dezembro de 2014, o qual perfazia o valor de R$ 173.098,47.</w:t>
      </w:r>
    </w:p>
    <w:p w:rsidR="00BF5A7C" w:rsidRDefault="00BF5A7C" w:rsidP="00445161">
      <w:pPr>
        <w:jc w:val="both"/>
        <w:rPr>
          <w:b/>
        </w:rPr>
      </w:pPr>
    </w:p>
    <w:p w:rsidR="00BF5A7C" w:rsidRDefault="00D800F5" w:rsidP="00A35F5C">
      <w:pPr>
        <w:jc w:val="both"/>
        <w:rPr>
          <w:b/>
        </w:rPr>
      </w:pPr>
      <w:r>
        <w:rPr>
          <w:b/>
        </w:rPr>
        <w:t>3.4</w:t>
      </w:r>
      <w:r w:rsidR="00BF5A7C">
        <w:rPr>
          <w:b/>
        </w:rPr>
        <w:t xml:space="preserve"> - PASSIVO PERMANENTE:</w:t>
      </w:r>
    </w:p>
    <w:p w:rsidR="00BF5A7C" w:rsidRDefault="00BF5A7C" w:rsidP="00BF5A7C">
      <w:pPr>
        <w:jc w:val="both"/>
      </w:pPr>
    </w:p>
    <w:p w:rsidR="00BF5A7C" w:rsidRDefault="00BF5A7C" w:rsidP="00553377">
      <w:pPr>
        <w:ind w:firstLine="2835"/>
        <w:jc w:val="both"/>
      </w:pPr>
      <w:r>
        <w:lastRenderedPageBreak/>
        <w:t>Compreende o Passivo Permanente os compromissos de exigibilidade superior a doze meses e outros, que necessitam de autorização legislativa para amortização ou resgate (crédito orçamentário próprio), (parágra</w:t>
      </w:r>
      <w:r w:rsidR="0067644A">
        <w:t>fo 4º, art. 105, Lei 4.320/64). No Balanço Geral 2014, está demonstrado em sua 7ª peça página 3 de 3, que o Passivo Permanente em dezembro de 2014 do município de Anastácio era de R$ 1.117.113,00</w:t>
      </w:r>
      <w:r w:rsidR="00553377">
        <w:t>.</w:t>
      </w:r>
    </w:p>
    <w:p w:rsidR="00BF5A7C" w:rsidRDefault="00BF5A7C" w:rsidP="00BF5A7C">
      <w:pPr>
        <w:jc w:val="both"/>
        <w:rPr>
          <w:b/>
        </w:rPr>
      </w:pPr>
    </w:p>
    <w:p w:rsidR="00BF5A7C" w:rsidRDefault="00BF5A7C" w:rsidP="00BF5A7C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BF5A7C" w:rsidRDefault="00BF5A7C" w:rsidP="00BF5A7C">
      <w:pPr>
        <w:jc w:val="both"/>
      </w:pPr>
    </w:p>
    <w:p w:rsidR="00387C6C" w:rsidRDefault="00BF5A7C" w:rsidP="0070261A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  <w:r w:rsidR="0070261A">
        <w:t xml:space="preserve"> </w:t>
      </w:r>
      <w:r>
        <w:t>“A Demonstração das Variações Patrimoniais evidenciará as alterações verificadas no patrimônio, resultantes ou independentes da execução orçamentária, e indicará o resultado patrimonial do exercício”.</w:t>
      </w:r>
      <w:r w:rsidR="0070261A">
        <w:t xml:space="preserve"> O</w:t>
      </w:r>
      <w:r>
        <w:t xml:space="preserve"> quadro demonstrativo </w:t>
      </w:r>
      <w:r w:rsidR="0070261A">
        <w:t xml:space="preserve">abaixo, </w:t>
      </w:r>
      <w:r>
        <w:t>revela os seguintes resultados, em resumo:</w:t>
      </w:r>
    </w:p>
    <w:p w:rsidR="008C5246" w:rsidRDefault="008C5246" w:rsidP="00316FC7">
      <w:pPr>
        <w:jc w:val="both"/>
      </w:pPr>
    </w:p>
    <w:tbl>
      <w:tblPr>
        <w:tblW w:w="950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411"/>
        <w:gridCol w:w="1531"/>
        <w:gridCol w:w="2787"/>
        <w:gridCol w:w="1776"/>
      </w:tblGrid>
      <w:tr w:rsidR="000D0147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AUMENTATIVA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DIMINUTIVA</w:t>
            </w:r>
          </w:p>
        </w:tc>
        <w:tc>
          <w:tcPr>
            <w:tcW w:w="17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806D6D" w:rsidTr="00806D6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both"/>
            </w:pPr>
            <w:r>
              <w:t>IMPOSTOS, TAXAS E CONTRIBUIÇÕES DE MELHORIA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right"/>
            </w:pPr>
            <w:r>
              <w:t>4.796.923,58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517BC5" w:rsidP="00446C48">
            <w:pPr>
              <w:jc w:val="both"/>
            </w:pPr>
            <w:r>
              <w:t>PESSOAL E ENCARGOS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517BC5" w:rsidP="00446C48">
            <w:r>
              <w:t>10.588.196,93</w:t>
            </w:r>
          </w:p>
        </w:tc>
      </w:tr>
      <w:tr w:rsidR="00806D6D" w:rsidTr="00806D6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both"/>
            </w:pPr>
            <w:r>
              <w:t>CONTRIBUIÇÕES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806D6D" w:rsidP="00446C48">
            <w:pPr>
              <w:jc w:val="right"/>
            </w:pPr>
            <w:r>
              <w:t>624.384,03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D" w:rsidRDefault="00517BC5" w:rsidP="00446C48">
            <w:pPr>
              <w:jc w:val="both"/>
            </w:pPr>
            <w:r>
              <w:t>BENEFÍCIOS PREVIDENCIÁRIOS E ASSISTENCIAIS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C5" w:rsidRDefault="00517BC5" w:rsidP="00446C48">
            <w:r>
              <w:t>889.913,92</w:t>
            </w:r>
          </w:p>
        </w:tc>
      </w:tr>
      <w:tr w:rsidR="000D0147" w:rsidTr="00446C48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806D6D" w:rsidP="00446C48">
            <w:pPr>
              <w:jc w:val="both"/>
            </w:pPr>
            <w:r>
              <w:t>EXPLORAÇÂO E VENDA DE BENS, SERVIÇOS E DIREITOS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806D6D" w:rsidP="00446C48">
            <w:pPr>
              <w:jc w:val="right"/>
            </w:pPr>
            <w:r>
              <w:t>37.317,78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517BC5" w:rsidP="00446C48">
            <w:pPr>
              <w:jc w:val="both"/>
            </w:pPr>
            <w:r>
              <w:t>USO DE BENS, SERVIÇOS E CONSUMO DE CAPITAL FIXO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517BC5" w:rsidP="00446C48">
            <w:pPr>
              <w:jc w:val="right"/>
            </w:pPr>
            <w:r>
              <w:t>8.799.483,22</w:t>
            </w:r>
          </w:p>
        </w:tc>
      </w:tr>
      <w:tr w:rsidR="000D0147" w:rsidRPr="00060195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806D6D" w:rsidP="00446C48">
            <w:pPr>
              <w:jc w:val="both"/>
            </w:pPr>
            <w:r>
              <w:t>VARIAÇÕES PATRIMONIAIS AUMENTATIVAS FINANCEIRAS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Pr="00060195" w:rsidRDefault="00806D6D" w:rsidP="00446C48">
            <w:pPr>
              <w:jc w:val="right"/>
            </w:pPr>
            <w:r>
              <w:t>251.078,88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Default="00517BC5" w:rsidP="00446C48">
            <w:pPr>
              <w:jc w:val="both"/>
            </w:pPr>
            <w:r>
              <w:t>VARIAÇÕES PATRIMONIAIS DIMINUTIVAS FINANCEIRAS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47" w:rsidRPr="00060195" w:rsidRDefault="00517BC5" w:rsidP="00517BC5">
            <w:pPr>
              <w:jc w:val="right"/>
            </w:pPr>
            <w:r>
              <w:t>528.791,51</w:t>
            </w:r>
          </w:p>
        </w:tc>
      </w:tr>
      <w:tr w:rsidR="000D0147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Pr="00806D6D" w:rsidRDefault="00806D6D" w:rsidP="00806D6D">
            <w:pPr>
              <w:jc w:val="both"/>
            </w:pPr>
            <w:r w:rsidRPr="00806D6D">
              <w:t>TRANSFERÊNCIAS E DELEGAÇÕES RECEBIDA</w:t>
            </w:r>
            <w:r>
              <w:t>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147" w:rsidRPr="00806D6D" w:rsidRDefault="00806D6D" w:rsidP="00446C48">
            <w:pPr>
              <w:jc w:val="right"/>
            </w:pPr>
            <w:r w:rsidRPr="00806D6D">
              <w:t>34.214.401,45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Pr="00DE29CB" w:rsidRDefault="00517BC5" w:rsidP="00446C48">
            <w:pPr>
              <w:jc w:val="both"/>
            </w:pPr>
            <w:r>
              <w:t>TRANSFERÊNCIAS E DELEGAÇÕES CONCEDIDAS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Pr="00517BC5" w:rsidRDefault="00517BC5" w:rsidP="00446C48">
            <w:pPr>
              <w:jc w:val="right"/>
            </w:pPr>
            <w:r>
              <w:t>15.587.910,99</w:t>
            </w:r>
          </w:p>
        </w:tc>
      </w:tr>
      <w:tr w:rsidR="00517BC5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Pr="00806D6D" w:rsidRDefault="00517BC5" w:rsidP="00806D6D">
            <w:pPr>
              <w:jc w:val="both"/>
            </w:pPr>
            <w:r>
              <w:t>VALORIZAÇÃO E GANHOS COM ATIVO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BC5" w:rsidRPr="00806D6D" w:rsidRDefault="00517BC5" w:rsidP="00806D6D">
            <w:pPr>
              <w:jc w:val="right"/>
            </w:pPr>
            <w:r>
              <w:t>1.241.536,67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Pr="00DE29CB" w:rsidRDefault="00517BC5" w:rsidP="00446C48">
            <w:pPr>
              <w:jc w:val="both"/>
            </w:pPr>
            <w:r>
              <w:t>TRIBUTÁRIAS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7BC5" w:rsidRPr="00517BC5" w:rsidRDefault="00517BC5" w:rsidP="00446C48">
            <w:pPr>
              <w:jc w:val="right"/>
            </w:pPr>
            <w:r w:rsidRPr="00517BC5">
              <w:t>543.105,67</w:t>
            </w:r>
          </w:p>
          <w:p w:rsidR="00517BC5" w:rsidRPr="00517BC5" w:rsidRDefault="00517BC5" w:rsidP="00446C48">
            <w:pPr>
              <w:jc w:val="right"/>
            </w:pPr>
          </w:p>
        </w:tc>
      </w:tr>
      <w:tr w:rsidR="00517BC5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Default="00517BC5" w:rsidP="00806D6D">
            <w:pPr>
              <w:jc w:val="both"/>
            </w:pPr>
            <w:r>
              <w:t>OUTRAS VARIAÇÕES PATRIMONIAIS AUMENTATIVAS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BC5" w:rsidRDefault="00517BC5" w:rsidP="00806D6D">
            <w:pPr>
              <w:jc w:val="right"/>
            </w:pPr>
            <w:r>
              <w:t>51.520,25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BC5" w:rsidRDefault="00517BC5" w:rsidP="00446C48">
            <w:pPr>
              <w:jc w:val="both"/>
            </w:pPr>
            <w:r>
              <w:t>OUTRAS VARIAÇÕES PATRIMONIAIS DIMINUTIVAS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7BC5" w:rsidRPr="00517BC5" w:rsidRDefault="00517BC5" w:rsidP="00446C48">
            <w:pPr>
              <w:jc w:val="right"/>
            </w:pPr>
            <w:r w:rsidRPr="00517BC5">
              <w:t>17.700,00</w:t>
            </w:r>
          </w:p>
        </w:tc>
      </w:tr>
      <w:tr w:rsidR="000D0147" w:rsidTr="00446C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0147" w:rsidRPr="00363B3C" w:rsidRDefault="00517BC5" w:rsidP="00446C48">
            <w:pPr>
              <w:jc w:val="right"/>
              <w:rPr>
                <w:b/>
              </w:rPr>
            </w:pPr>
            <w:r>
              <w:rPr>
                <w:b/>
              </w:rPr>
              <w:t>41.217.162,64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147" w:rsidRDefault="000D0147" w:rsidP="00446C4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D0147" w:rsidRDefault="00517BC5" w:rsidP="00446C48">
            <w:pPr>
              <w:jc w:val="right"/>
              <w:rPr>
                <w:b/>
              </w:rPr>
            </w:pPr>
            <w:r>
              <w:rPr>
                <w:b/>
              </w:rPr>
              <w:t>36.955.102,24</w:t>
            </w:r>
          </w:p>
        </w:tc>
      </w:tr>
    </w:tbl>
    <w:p w:rsidR="000D0147" w:rsidRDefault="000D0147" w:rsidP="00316FC7">
      <w:pPr>
        <w:jc w:val="both"/>
      </w:pPr>
    </w:p>
    <w:p w:rsidR="000D0147" w:rsidRDefault="000D0147" w:rsidP="00316FC7">
      <w:pPr>
        <w:jc w:val="both"/>
      </w:pPr>
    </w:p>
    <w:p w:rsidR="00517BC5" w:rsidRDefault="00517BC5" w:rsidP="0070261A">
      <w:pPr>
        <w:ind w:firstLine="708"/>
        <w:jc w:val="both"/>
      </w:pPr>
    </w:p>
    <w:p w:rsidR="00517BC5" w:rsidRDefault="00517BC5" w:rsidP="0070261A">
      <w:pPr>
        <w:ind w:firstLine="708"/>
        <w:jc w:val="both"/>
      </w:pPr>
    </w:p>
    <w:p w:rsidR="00517BC5" w:rsidRDefault="00517BC5" w:rsidP="0070261A">
      <w:pPr>
        <w:ind w:firstLine="708"/>
        <w:jc w:val="both"/>
      </w:pPr>
    </w:p>
    <w:p w:rsidR="00104368" w:rsidRDefault="008C5246" w:rsidP="0070261A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</w:t>
      </w:r>
      <w:r w:rsidR="00517BC5">
        <w:t xml:space="preserve"> ao Balanço Geral Exercício/2014</w:t>
      </w:r>
      <w:r w:rsidRPr="00915601">
        <w:t xml:space="preserve"> do </w:t>
      </w:r>
      <w:r w:rsidR="00D800F5">
        <w:t>Município de Anastácio/MS</w:t>
      </w:r>
      <w:r w:rsidR="00915601">
        <w:t>, expresso</w:t>
      </w:r>
      <w:r w:rsidRPr="00915601">
        <w:t xml:space="preserve"> opinião conclusiva, sobre os principais registros formulados pela equipe financeira</w:t>
      </w:r>
      <w:r w:rsidR="008A12D3">
        <w:t xml:space="preserve"> e com seu auxílio</w:t>
      </w:r>
      <w:r w:rsidRPr="00915601">
        <w:t xml:space="preserve">, sobre os </w:t>
      </w:r>
      <w:r w:rsidR="005F4939">
        <w:t xml:space="preserve">principais </w:t>
      </w:r>
      <w:r w:rsidRPr="00915601">
        <w:t xml:space="preserve">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104368" w:rsidRDefault="008C5246" w:rsidP="0070261A">
      <w:pPr>
        <w:ind w:left="5664" w:firstLine="708"/>
        <w:jc w:val="both"/>
      </w:pPr>
      <w:r>
        <w:t>É o parecer, s.m.j.</w:t>
      </w:r>
    </w:p>
    <w:p w:rsidR="0089504F" w:rsidRDefault="0089504F" w:rsidP="0089504F">
      <w:pPr>
        <w:ind w:firstLine="2835"/>
        <w:jc w:val="right"/>
      </w:pPr>
    </w:p>
    <w:p w:rsidR="00976AAD" w:rsidRDefault="0070261A" w:rsidP="0089504F">
      <w:pPr>
        <w:ind w:firstLine="2835"/>
        <w:jc w:val="right"/>
      </w:pPr>
      <w:r>
        <w:t>Anastácio-MS, 26</w:t>
      </w:r>
      <w:r w:rsidR="00316FC7">
        <w:t xml:space="preserve"> de mar</w:t>
      </w:r>
      <w:r>
        <w:t>ço de 2015</w:t>
      </w:r>
      <w:r w:rsidR="00316FC7">
        <w:t>.</w:t>
      </w:r>
    </w:p>
    <w:p w:rsidR="00915601" w:rsidRDefault="00915601" w:rsidP="00316FC7">
      <w:pPr>
        <w:jc w:val="both"/>
      </w:pPr>
    </w:p>
    <w:p w:rsidR="0089504F" w:rsidRDefault="0089504F" w:rsidP="00316FC7">
      <w:pPr>
        <w:jc w:val="both"/>
      </w:pPr>
    </w:p>
    <w:p w:rsidR="00517BC5" w:rsidRDefault="00517BC5" w:rsidP="00316FC7">
      <w:pPr>
        <w:jc w:val="both"/>
      </w:pPr>
    </w:p>
    <w:p w:rsidR="00517BC5" w:rsidRDefault="00517BC5" w:rsidP="00316FC7">
      <w:pPr>
        <w:jc w:val="both"/>
      </w:pPr>
    </w:p>
    <w:p w:rsidR="00517BC5" w:rsidRDefault="00517BC5" w:rsidP="00316FC7">
      <w:pPr>
        <w:jc w:val="both"/>
      </w:pPr>
    </w:p>
    <w:p w:rsidR="00517BC5" w:rsidRDefault="00517BC5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Pr="0089504F" w:rsidRDefault="00316FC7" w:rsidP="0089504F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sectPr w:rsidR="00316FC7" w:rsidRPr="0089504F" w:rsidSect="005A7EFF">
      <w:headerReference w:type="default" r:id="rId7"/>
      <w:footerReference w:type="default" r:id="rId8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90" w:rsidRDefault="00C15590">
      <w:r>
        <w:separator/>
      </w:r>
    </w:p>
  </w:endnote>
  <w:endnote w:type="continuationSeparator" w:id="1">
    <w:p w:rsidR="00C15590" w:rsidRDefault="00C15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6B6368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90" w:rsidRDefault="00C15590">
      <w:r>
        <w:separator/>
      </w:r>
    </w:p>
  </w:footnote>
  <w:footnote w:type="continuationSeparator" w:id="1">
    <w:p w:rsidR="00C15590" w:rsidRDefault="00C15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6B6368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D6718"/>
    <w:multiLevelType w:val="multilevel"/>
    <w:tmpl w:val="3F82B29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0CE8"/>
    <w:rsid w:val="00024193"/>
    <w:rsid w:val="00024BAC"/>
    <w:rsid w:val="00031B68"/>
    <w:rsid w:val="00061FFC"/>
    <w:rsid w:val="00063B59"/>
    <w:rsid w:val="0008315C"/>
    <w:rsid w:val="000D0147"/>
    <w:rsid w:val="000D128D"/>
    <w:rsid w:val="000D3945"/>
    <w:rsid w:val="000F45EF"/>
    <w:rsid w:val="000F6BA1"/>
    <w:rsid w:val="00104368"/>
    <w:rsid w:val="00123871"/>
    <w:rsid w:val="001513F5"/>
    <w:rsid w:val="00185BF1"/>
    <w:rsid w:val="00186BED"/>
    <w:rsid w:val="001A0D12"/>
    <w:rsid w:val="001B5DF0"/>
    <w:rsid w:val="001C3F6D"/>
    <w:rsid w:val="001C4996"/>
    <w:rsid w:val="001D05D6"/>
    <w:rsid w:val="001F5C89"/>
    <w:rsid w:val="001F6296"/>
    <w:rsid w:val="00205DEB"/>
    <w:rsid w:val="002131EE"/>
    <w:rsid w:val="0021661C"/>
    <w:rsid w:val="0027450C"/>
    <w:rsid w:val="002A6441"/>
    <w:rsid w:val="002C64E8"/>
    <w:rsid w:val="002E6D22"/>
    <w:rsid w:val="002F3411"/>
    <w:rsid w:val="00316FC7"/>
    <w:rsid w:val="00352F5B"/>
    <w:rsid w:val="00363494"/>
    <w:rsid w:val="00370286"/>
    <w:rsid w:val="00381C06"/>
    <w:rsid w:val="00387C6C"/>
    <w:rsid w:val="00393488"/>
    <w:rsid w:val="003B0049"/>
    <w:rsid w:val="003B00B1"/>
    <w:rsid w:val="003B7019"/>
    <w:rsid w:val="003C4A43"/>
    <w:rsid w:val="003E45E5"/>
    <w:rsid w:val="003F6899"/>
    <w:rsid w:val="004038F3"/>
    <w:rsid w:val="00436AA3"/>
    <w:rsid w:val="00442101"/>
    <w:rsid w:val="00445161"/>
    <w:rsid w:val="00460915"/>
    <w:rsid w:val="00474033"/>
    <w:rsid w:val="00490475"/>
    <w:rsid w:val="00497C40"/>
    <w:rsid w:val="004C1B28"/>
    <w:rsid w:val="004C2843"/>
    <w:rsid w:val="004C5B4E"/>
    <w:rsid w:val="004C62D5"/>
    <w:rsid w:val="004D28B3"/>
    <w:rsid w:val="004F5A69"/>
    <w:rsid w:val="00512B0B"/>
    <w:rsid w:val="00517BC5"/>
    <w:rsid w:val="005346C6"/>
    <w:rsid w:val="00553377"/>
    <w:rsid w:val="005667A8"/>
    <w:rsid w:val="00594D31"/>
    <w:rsid w:val="005A7EFF"/>
    <w:rsid w:val="005B0D03"/>
    <w:rsid w:val="005C4417"/>
    <w:rsid w:val="005E2E94"/>
    <w:rsid w:val="005E33CF"/>
    <w:rsid w:val="005F20C5"/>
    <w:rsid w:val="005F4939"/>
    <w:rsid w:val="005F7101"/>
    <w:rsid w:val="00616649"/>
    <w:rsid w:val="00631C56"/>
    <w:rsid w:val="0066525C"/>
    <w:rsid w:val="006662FA"/>
    <w:rsid w:val="00675F93"/>
    <w:rsid w:val="0067644A"/>
    <w:rsid w:val="006B495B"/>
    <w:rsid w:val="006B6368"/>
    <w:rsid w:val="006C0DED"/>
    <w:rsid w:val="006E570D"/>
    <w:rsid w:val="006F1796"/>
    <w:rsid w:val="006F1BB9"/>
    <w:rsid w:val="0070261A"/>
    <w:rsid w:val="00704094"/>
    <w:rsid w:val="0074166A"/>
    <w:rsid w:val="0077650F"/>
    <w:rsid w:val="00780516"/>
    <w:rsid w:val="007D37A5"/>
    <w:rsid w:val="007E063D"/>
    <w:rsid w:val="008050AD"/>
    <w:rsid w:val="00806D6D"/>
    <w:rsid w:val="00813739"/>
    <w:rsid w:val="00823C6A"/>
    <w:rsid w:val="00862B58"/>
    <w:rsid w:val="0089504F"/>
    <w:rsid w:val="008A12D3"/>
    <w:rsid w:val="008A354B"/>
    <w:rsid w:val="008B42E5"/>
    <w:rsid w:val="008B434A"/>
    <w:rsid w:val="008B73DB"/>
    <w:rsid w:val="008C5246"/>
    <w:rsid w:val="008C5299"/>
    <w:rsid w:val="008F3ED8"/>
    <w:rsid w:val="008F6701"/>
    <w:rsid w:val="00911AEC"/>
    <w:rsid w:val="00915601"/>
    <w:rsid w:val="00971DDE"/>
    <w:rsid w:val="00976AAD"/>
    <w:rsid w:val="0099215B"/>
    <w:rsid w:val="009948A7"/>
    <w:rsid w:val="009E225A"/>
    <w:rsid w:val="009F5925"/>
    <w:rsid w:val="00A0489A"/>
    <w:rsid w:val="00A33CC5"/>
    <w:rsid w:val="00A35F5C"/>
    <w:rsid w:val="00A375D6"/>
    <w:rsid w:val="00A60F81"/>
    <w:rsid w:val="00A666FA"/>
    <w:rsid w:val="00A765A5"/>
    <w:rsid w:val="00A76D98"/>
    <w:rsid w:val="00A94CED"/>
    <w:rsid w:val="00A97A85"/>
    <w:rsid w:val="00AC3E90"/>
    <w:rsid w:val="00B10501"/>
    <w:rsid w:val="00B41C47"/>
    <w:rsid w:val="00B50690"/>
    <w:rsid w:val="00B54A98"/>
    <w:rsid w:val="00B55C29"/>
    <w:rsid w:val="00B60578"/>
    <w:rsid w:val="00B75D52"/>
    <w:rsid w:val="00BB0449"/>
    <w:rsid w:val="00BC3F4B"/>
    <w:rsid w:val="00BF5A7C"/>
    <w:rsid w:val="00C15590"/>
    <w:rsid w:val="00C25F9A"/>
    <w:rsid w:val="00C32036"/>
    <w:rsid w:val="00C51626"/>
    <w:rsid w:val="00C70A61"/>
    <w:rsid w:val="00CF0422"/>
    <w:rsid w:val="00CF2025"/>
    <w:rsid w:val="00CF49C5"/>
    <w:rsid w:val="00D22144"/>
    <w:rsid w:val="00D309BD"/>
    <w:rsid w:val="00D54E0C"/>
    <w:rsid w:val="00D800F5"/>
    <w:rsid w:val="00D832CF"/>
    <w:rsid w:val="00D916F0"/>
    <w:rsid w:val="00DA33C1"/>
    <w:rsid w:val="00DE2D62"/>
    <w:rsid w:val="00DE723A"/>
    <w:rsid w:val="00DF1FA0"/>
    <w:rsid w:val="00E244E2"/>
    <w:rsid w:val="00E30027"/>
    <w:rsid w:val="00E860E2"/>
    <w:rsid w:val="00E955BA"/>
    <w:rsid w:val="00ED506D"/>
    <w:rsid w:val="00EE66C0"/>
    <w:rsid w:val="00EF3E3A"/>
    <w:rsid w:val="00F00EB9"/>
    <w:rsid w:val="00F346AD"/>
    <w:rsid w:val="00F354EF"/>
    <w:rsid w:val="00F57D0C"/>
    <w:rsid w:val="00F70EDF"/>
    <w:rsid w:val="00FE3EC7"/>
    <w:rsid w:val="00FE6109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  <w:style w:type="paragraph" w:styleId="PargrafodaLista">
    <w:name w:val="List Paragraph"/>
    <w:basedOn w:val="Normal"/>
    <w:uiPriority w:val="34"/>
    <w:qFormat/>
    <w:rsid w:val="0056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1355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22</cp:revision>
  <cp:lastPrinted>2012-03-29T13:37:00Z</cp:lastPrinted>
  <dcterms:created xsi:type="dcterms:W3CDTF">2014-03-28T18:08:00Z</dcterms:created>
  <dcterms:modified xsi:type="dcterms:W3CDTF">2015-03-30T15:31:00Z</dcterms:modified>
</cp:coreProperties>
</file>