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8D" w:rsidRDefault="000D128D" w:rsidP="0066525C">
      <w:pPr>
        <w:jc w:val="both"/>
      </w:pPr>
      <w:bookmarkStart w:id="0" w:name="_GoBack"/>
      <w:bookmarkEnd w:id="0"/>
    </w:p>
    <w:p w:rsidR="00E244E2" w:rsidRPr="00316FC7" w:rsidRDefault="00E244E2" w:rsidP="00E244E2">
      <w:pPr>
        <w:jc w:val="center"/>
        <w:rPr>
          <w:b/>
          <w:sz w:val="28"/>
          <w:szCs w:val="28"/>
        </w:rPr>
      </w:pPr>
      <w:r w:rsidRPr="00316FC7">
        <w:rPr>
          <w:b/>
          <w:sz w:val="28"/>
          <w:szCs w:val="28"/>
        </w:rPr>
        <w:t>PARECER</w:t>
      </w:r>
      <w:r w:rsidR="00316FC7" w:rsidRPr="00316FC7">
        <w:rPr>
          <w:b/>
          <w:sz w:val="28"/>
          <w:szCs w:val="28"/>
        </w:rPr>
        <w:t xml:space="preserve"> TÉCNICO CONCLUSIVO</w:t>
      </w:r>
    </w:p>
    <w:p w:rsidR="00316FC7" w:rsidRDefault="00316FC7" w:rsidP="00E244E2">
      <w:pPr>
        <w:jc w:val="center"/>
        <w:rPr>
          <w:b/>
        </w:rPr>
      </w:pPr>
      <w:r>
        <w:rPr>
          <w:b/>
        </w:rPr>
        <w:t xml:space="preserve">FUNDO MUNICIPAL DE </w:t>
      </w:r>
      <w:r w:rsidR="00CD789F">
        <w:rPr>
          <w:b/>
        </w:rPr>
        <w:t>MEIO AMBIENTE</w:t>
      </w:r>
    </w:p>
    <w:p w:rsidR="00316FC7" w:rsidRPr="000D128D" w:rsidRDefault="00490490" w:rsidP="00E244E2">
      <w:pPr>
        <w:jc w:val="center"/>
        <w:rPr>
          <w:b/>
        </w:rPr>
      </w:pPr>
      <w:r>
        <w:rPr>
          <w:b/>
        </w:rPr>
        <w:t>Exercício 2015</w:t>
      </w:r>
    </w:p>
    <w:p w:rsidR="00E244E2" w:rsidRDefault="00E244E2" w:rsidP="00E244E2">
      <w:pPr>
        <w:jc w:val="both"/>
      </w:pPr>
    </w:p>
    <w:p w:rsidR="00CE48BC" w:rsidRDefault="00CE48BC" w:rsidP="00E244E2">
      <w:pPr>
        <w:jc w:val="both"/>
      </w:pPr>
    </w:p>
    <w:p w:rsidR="00CE48BC" w:rsidRDefault="00CE48BC" w:rsidP="00E244E2">
      <w:pPr>
        <w:jc w:val="both"/>
      </w:pPr>
    </w:p>
    <w:p w:rsidR="00316FC7" w:rsidRPr="00460915" w:rsidRDefault="004038F3" w:rsidP="00460915">
      <w:pPr>
        <w:ind w:firstLine="2835"/>
        <w:jc w:val="both"/>
        <w:rPr>
          <w:b/>
        </w:rPr>
      </w:pPr>
      <w:r>
        <w:t>Visando da</w:t>
      </w:r>
      <w:r w:rsidR="001012EE">
        <w:t>r</w:t>
      </w:r>
      <w:r>
        <w:t xml:space="preserve"> cumprimento </w:t>
      </w:r>
      <w:r w:rsidR="00316FC7">
        <w:t xml:space="preserve">às prescrições contidas </w:t>
      </w:r>
      <w:r>
        <w:t>na Instrução Normativa nº 35 de 14 de dezembro de 2011</w:t>
      </w:r>
      <w:r w:rsidR="00316FC7">
        <w:t xml:space="preserve">, </w:t>
      </w:r>
      <w:r>
        <w:t>do Tribunal de Contas do Estado de Mato Grosso do Sul TCE/MS, a fim de atender</w:t>
      </w:r>
      <w:r w:rsidR="00123871">
        <w:t xml:space="preserve"> a Orientação Técnica aos Jurisdic</w:t>
      </w:r>
      <w:r>
        <w:t>ionados DGGM/PRES Nº 8, de 14 de março de 2012</w:t>
      </w:r>
      <w:r w:rsidR="00316FC7">
        <w:t xml:space="preserve">, </w:t>
      </w:r>
      <w:r>
        <w:t>analisamos</w:t>
      </w:r>
      <w:r w:rsidR="00316FC7">
        <w:t xml:space="preserve"> a Prestação de Contas Anual </w:t>
      </w:r>
      <w:r>
        <w:t xml:space="preserve">do Fundo Municipal de Habitação </w:t>
      </w:r>
      <w:r w:rsidR="00316FC7">
        <w:t>deste Município r</w:t>
      </w:r>
      <w:r w:rsidR="008F7302">
        <w:t xml:space="preserve">elativa ao </w:t>
      </w:r>
      <w:r w:rsidR="00490490">
        <w:t>exercício de 2015</w:t>
      </w:r>
      <w:r w:rsidR="00316FC7">
        <w:t xml:space="preserve">, </w:t>
      </w:r>
      <w:r>
        <w:t>conforme</w:t>
      </w:r>
      <w:r w:rsidR="00460915">
        <w:t xml:space="preserve"> o</w:t>
      </w:r>
      <w:r w:rsidR="00316FC7">
        <w:t xml:space="preserve"> relatório que se segue</w:t>
      </w:r>
      <w:r w:rsidR="00460915">
        <w:t xml:space="preserve">, </w:t>
      </w:r>
      <w:r w:rsidR="00316FC7">
        <w:t>descreve</w:t>
      </w:r>
      <w:r w:rsidR="00460915">
        <w:t>ndo este</w:t>
      </w:r>
      <w:r w:rsidR="00316FC7">
        <w:t xml:space="preserve"> os fatos relevantes da Administração Financeira e Patrimonial </w:t>
      </w:r>
      <w:r w:rsidR="00460915">
        <w:t>do referido Fundo</w:t>
      </w:r>
      <w:r w:rsidR="00316FC7">
        <w:t>, compreendendo os Balanços Gerais, acompanhados dos respectivos Anexos Demonstrativos</w:t>
      </w:r>
      <w:r w:rsidR="006F1BB9" w:rsidRPr="006F1BB9">
        <w:t>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 xml:space="preserve">A respeito das peças contábeis que acompanham este Relatório, passamos a tecer alguns comentários </w:t>
      </w:r>
      <w:proofErr w:type="spellStart"/>
      <w:r w:rsidR="000A62CA">
        <w:t>a</w:t>
      </w:r>
      <w:proofErr w:type="spellEnd"/>
      <w:r>
        <w:t xml:space="preserve"> guisa de análise e interpretação de vários aspectos apresentados pelos respectivos resultados, conforme segue:</w:t>
      </w:r>
    </w:p>
    <w:p w:rsidR="00CE48BC" w:rsidRDefault="00CE48BC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1 - EXECUÇÃO ORÇAMENTÁRIA: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A execução orçamentária do exercício está sinteticamente demonstrada no Balanço Orçamentário e, analiticamente, nos anexos explicativos da Receita e da Despesa, conforme exigências contidas na Lei nº 4.320/64 e demais recomendações legais e regulamentares pertinentes.</w:t>
      </w:r>
    </w:p>
    <w:p w:rsidR="00316FC7" w:rsidRPr="00CA7D36" w:rsidRDefault="00CD789F" w:rsidP="00CD789F">
      <w:pPr>
        <w:ind w:firstLine="2835"/>
        <w:jc w:val="both"/>
      </w:pPr>
      <w:r>
        <w:t xml:space="preserve">Conforme Declaração emitida em 17 de março de 2016, anexa ao Balanço Geral do Exercício de 2015, não houve movimento no exercício de 2015. </w:t>
      </w:r>
    </w:p>
    <w:p w:rsidR="006E570D" w:rsidRDefault="006E570D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2 - BALANÇO FINANCEIRO:</w:t>
      </w:r>
    </w:p>
    <w:p w:rsidR="00316FC7" w:rsidRDefault="00316FC7" w:rsidP="00123871">
      <w:pPr>
        <w:jc w:val="both"/>
      </w:pPr>
    </w:p>
    <w:p w:rsidR="00316FC7" w:rsidRDefault="00316FC7" w:rsidP="00316FC7">
      <w:pPr>
        <w:ind w:firstLine="2835"/>
        <w:jc w:val="both"/>
      </w:pPr>
      <w:r>
        <w:t xml:space="preserve">O movimento de numerário (entrada e saída de recursos financeiros) durante o exercício é demonstrado no Balanço Financeiro, no qual se </w:t>
      </w:r>
      <w:r w:rsidR="005A1B4F">
        <w:t>evidencia</w:t>
      </w:r>
      <w:r>
        <w:t xml:space="preserve"> as disponibilidades existentes no início e no fim daquele período, correspondente à demonstração do Fluxo de Caixa.</w:t>
      </w:r>
    </w:p>
    <w:p w:rsidR="00316FC7" w:rsidRDefault="00316FC7" w:rsidP="00316FC7">
      <w:pPr>
        <w:ind w:firstLine="2835"/>
        <w:jc w:val="both"/>
      </w:pPr>
    </w:p>
    <w:p w:rsidR="00316FC7" w:rsidRDefault="00316FC7" w:rsidP="006B6DDF">
      <w:pPr>
        <w:ind w:firstLine="2835"/>
        <w:jc w:val="both"/>
      </w:pPr>
      <w:r>
        <w:t>Por meio desse Balanço, se pode avaliar não apenas as disponibilidades imediatas</w:t>
      </w:r>
      <w:r w:rsidR="0017638F">
        <w:t>, mas</w:t>
      </w:r>
      <w:r>
        <w:t xml:space="preserve"> sobretudo, a natureza das rendas e dos recebimentos de valores de espécies variadas e sua aplicação em</w:t>
      </w:r>
      <w:r w:rsidR="00CD789F">
        <w:t xml:space="preserve"> despesas e outras destinações.</w:t>
      </w:r>
    </w:p>
    <w:p w:rsidR="00CD789F" w:rsidRDefault="00CD789F" w:rsidP="006B6DDF">
      <w:pPr>
        <w:ind w:firstLine="2835"/>
        <w:jc w:val="both"/>
      </w:pPr>
      <w:r>
        <w:t>Conforme Declaração emitida em 17 de março de 2016, anexa ao Balanço Geral do Exercício de 2015, não houve movimento no exercício de 2015.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lastRenderedPageBreak/>
        <w:t>3 - BALANÇO PATRIMONIAL: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Os elementos que compõem o patrimônio, evidenciando o saldo líquido entre os seus valores positivos (ativo) e negativo (passivo), estão sinteticamente ordenados no Balanço Patrimonial.</w:t>
      </w:r>
    </w:p>
    <w:p w:rsidR="00316FC7" w:rsidRDefault="00316FC7" w:rsidP="00316FC7">
      <w:pPr>
        <w:ind w:firstLine="2835"/>
        <w:jc w:val="both"/>
      </w:pPr>
    </w:p>
    <w:p w:rsidR="00316FC7" w:rsidRDefault="00CD789F" w:rsidP="00316FC7">
      <w:pPr>
        <w:ind w:firstLine="2835"/>
        <w:jc w:val="both"/>
      </w:pPr>
      <w:r>
        <w:t>Conforme Declaração emitida em 17 de março de 2016, anexa ao Balanço Geral do Exercício de 2015, não houve movimento no exercício de 2015.</w:t>
      </w:r>
    </w:p>
    <w:p w:rsidR="00316FC7" w:rsidRDefault="00316FC7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4 - DEMONSTRAÇÃO DAS VARIAÇÕES PATRIMONIAIS: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Esta demonstração, também denominada “Balanço Econômico”, tem a seguinte definição na Lei nº 4.320, citada no seu artigo 104: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“A Demonstração das Variações Patrimoniais evidenciará as alterações verificadas no patrimônio, resultantes ou independentes da execução orçamentária, e indicará o resultado patrimonial do exercício”.</w:t>
      </w:r>
    </w:p>
    <w:p w:rsidR="00316FC7" w:rsidRDefault="00316FC7" w:rsidP="006B6DDF">
      <w:pPr>
        <w:jc w:val="both"/>
      </w:pPr>
    </w:p>
    <w:p w:rsidR="00CE48BC" w:rsidRDefault="00CD789F" w:rsidP="00CD789F">
      <w:pPr>
        <w:ind w:firstLine="2832"/>
        <w:jc w:val="both"/>
      </w:pPr>
      <w:r>
        <w:t>Conforme Declaração emitida em 17 de março de 2016, anexa ao Balanço Geral do Exercício de 2015, não houve movimento no exercício de 2015.</w:t>
      </w:r>
    </w:p>
    <w:p w:rsidR="00CD789F" w:rsidRDefault="00CD789F" w:rsidP="00CD789F">
      <w:pPr>
        <w:jc w:val="right"/>
      </w:pPr>
    </w:p>
    <w:p w:rsidR="00CD789F" w:rsidRDefault="00CD789F" w:rsidP="00CD789F">
      <w:pPr>
        <w:jc w:val="right"/>
      </w:pPr>
    </w:p>
    <w:p w:rsidR="00490490" w:rsidRDefault="00490490" w:rsidP="00490490">
      <w:pPr>
        <w:ind w:firstLine="708"/>
        <w:jc w:val="both"/>
      </w:pPr>
      <w:r>
        <w:t xml:space="preserve">Em conclusão à análise feita pela Controladoria Interna do Município de Anastácio, com o auxílio da Secretaria de Orçamento e Finanças, quanto ao Balanço Geral Exercício/2015 do Fundo </w:t>
      </w:r>
      <w:r w:rsidR="00CD789F">
        <w:t xml:space="preserve">Municipal </w:t>
      </w:r>
      <w:r>
        <w:t xml:space="preserve">de </w:t>
      </w:r>
      <w:r w:rsidR="00CD789F">
        <w:t>Meio Ambiente</w:t>
      </w:r>
      <w:r>
        <w:t xml:space="preserve"> do Município de Anastácio/MS, </w:t>
      </w:r>
      <w:r w:rsidR="00CD789F">
        <w:t xml:space="preserve">e conforme Declaração emitida em 17 de março de 2016, anexa ao Balanço Geral do Exercício de 2015, a qual afirma que não houve movimento no referido exercício, </w:t>
      </w:r>
      <w:r>
        <w:t xml:space="preserve">expresso opinião conclusiva, sobre os principais registros formulados pelo setor contábil, referentes aos atos de gestão do referido exercício, cuja certificação foi pela </w:t>
      </w:r>
      <w:r>
        <w:rPr>
          <w:b/>
          <w:bCs/>
        </w:rPr>
        <w:t>regularidade</w:t>
      </w:r>
      <w:r>
        <w:t xml:space="preserve"> devendo este ser encaminhado ao Prefeito Municipal com vistas à obtenção do Pronunciamento Expresso e Indelegável sobre as contas anuais e sobre o parecer do Controle Interno e posterior remessa ao Tribunal de Contas do Estado de Mato Grosso do Sul.</w:t>
      </w:r>
    </w:p>
    <w:p w:rsidR="00490490" w:rsidRDefault="00490490" w:rsidP="00490490">
      <w:pPr>
        <w:jc w:val="both"/>
      </w:pPr>
    </w:p>
    <w:p w:rsidR="00490490" w:rsidRDefault="00490490" w:rsidP="00490490">
      <w:pPr>
        <w:ind w:left="5664" w:firstLine="708"/>
        <w:jc w:val="both"/>
      </w:pPr>
      <w:r>
        <w:t>É o parecer, s.m.j.</w:t>
      </w:r>
    </w:p>
    <w:p w:rsidR="00490490" w:rsidRDefault="00490490" w:rsidP="00490490">
      <w:pPr>
        <w:jc w:val="both"/>
      </w:pPr>
    </w:p>
    <w:p w:rsidR="00490490" w:rsidRDefault="00490490" w:rsidP="00490490">
      <w:pPr>
        <w:ind w:firstLine="708"/>
        <w:jc w:val="right"/>
      </w:pPr>
      <w:r>
        <w:t>Anastácio-MS, 29 de março de 2016.</w:t>
      </w:r>
    </w:p>
    <w:p w:rsidR="00106641" w:rsidRDefault="00106641" w:rsidP="00316FC7">
      <w:pPr>
        <w:jc w:val="both"/>
      </w:pPr>
    </w:p>
    <w:p w:rsidR="00915601" w:rsidRDefault="00915601" w:rsidP="00316FC7">
      <w:pPr>
        <w:jc w:val="both"/>
      </w:pPr>
    </w:p>
    <w:p w:rsidR="00316FC7" w:rsidRDefault="00316FC7" w:rsidP="00316FC7">
      <w:pPr>
        <w:ind w:right="-139"/>
        <w:jc w:val="center"/>
        <w:rPr>
          <w:b/>
        </w:rPr>
      </w:pPr>
      <w:r>
        <w:rPr>
          <w:b/>
        </w:rPr>
        <w:t>Rogério Dumont Silva Ferreira</w:t>
      </w:r>
    </w:p>
    <w:p w:rsidR="00316FC7" w:rsidRPr="006B6DDF" w:rsidRDefault="00316FC7" w:rsidP="006B6DDF">
      <w:pPr>
        <w:pStyle w:val="Ttulo2"/>
        <w:rPr>
          <w:b w:val="0"/>
          <w:sz w:val="24"/>
        </w:rPr>
      </w:pPr>
      <w:r w:rsidRPr="006B6DDF">
        <w:rPr>
          <w:b w:val="0"/>
          <w:sz w:val="24"/>
        </w:rPr>
        <w:t>Chefe da Controladoria Interna</w:t>
      </w:r>
    </w:p>
    <w:sectPr w:rsidR="00316FC7" w:rsidRPr="006B6DDF" w:rsidSect="005A7EFF">
      <w:headerReference w:type="default" r:id="rId6"/>
      <w:footerReference w:type="default" r:id="rId7"/>
      <w:pgSz w:w="12240" w:h="15840"/>
      <w:pgMar w:top="53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02" w:rsidRDefault="002C3402">
      <w:r>
        <w:separator/>
      </w:r>
    </w:p>
  </w:endnote>
  <w:endnote w:type="continuationSeparator" w:id="0">
    <w:p w:rsidR="002C3402" w:rsidRDefault="002C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FF" w:rsidRDefault="007766C2">
    <w:pPr>
      <w:pStyle w:val="Rodap"/>
      <w:rPr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67945</wp:posOffset>
          </wp:positionV>
          <wp:extent cx="800100" cy="698500"/>
          <wp:effectExtent l="19050" t="0" r="0" b="0"/>
          <wp:wrapNone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34" t="13197" r="23007" b="2055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EFF" w:rsidRDefault="005A7EFF">
    <w:pPr>
      <w:pStyle w:val="Rodap"/>
      <w:rPr>
        <w:color w:val="0000FF"/>
      </w:rPr>
    </w:pPr>
  </w:p>
  <w:p w:rsidR="005A7EFF" w:rsidRDefault="005A7EFF">
    <w:pPr>
      <w:pStyle w:val="Rodap"/>
      <w:rPr>
        <w:color w:val="0000FF"/>
      </w:rPr>
    </w:pPr>
    <w:r>
      <w:rPr>
        <w:color w:val="0000FF"/>
      </w:rPr>
      <w:t>_________________________________________________________________________</w:t>
    </w:r>
  </w:p>
  <w:p w:rsidR="005A7EFF" w:rsidRDefault="005A7EFF">
    <w:pPr>
      <w:pStyle w:val="Rodap"/>
      <w:rPr>
        <w:color w:val="FF0000"/>
      </w:rPr>
    </w:pPr>
    <w:r>
      <w:rPr>
        <w:color w:val="FF0000"/>
      </w:rPr>
      <w:t>_________________________________________________________________________</w:t>
    </w:r>
  </w:p>
  <w:p w:rsidR="005A7EFF" w:rsidRPr="005A7EFF" w:rsidRDefault="005A7EFF">
    <w:pPr>
      <w:pStyle w:val="Rodap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02" w:rsidRDefault="002C3402">
      <w:r>
        <w:separator/>
      </w:r>
    </w:p>
  </w:footnote>
  <w:footnote w:type="continuationSeparator" w:id="0">
    <w:p w:rsidR="002C3402" w:rsidRDefault="002C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C7" w:rsidRDefault="007766C2" w:rsidP="00316FC7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90170" distR="9017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-107315</wp:posOffset>
          </wp:positionV>
          <wp:extent cx="800100" cy="79311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246"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Controladoria Interna</w:t>
    </w:r>
  </w:p>
  <w:p w:rsidR="00316FC7" w:rsidRPr="00316FC7" w:rsidRDefault="00316FC7" w:rsidP="00316FC7">
    <w:pPr>
      <w:jc w:val="center"/>
      <w:rPr>
        <w:rFonts w:ascii="Arial" w:hAnsi="Arial" w:cs="Arial"/>
        <w:b/>
        <w:color w:val="0000FF"/>
        <w:sz w:val="20"/>
        <w:szCs w:val="20"/>
      </w:rPr>
    </w:pPr>
    <w:r w:rsidRPr="00316FC7">
      <w:rPr>
        <w:sz w:val="20"/>
        <w:szCs w:val="20"/>
      </w:rPr>
      <w:t>Rua João Leite Ribeiro, 754 CEP 79.210-000 Tel. 3245-3540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7"/>
    <w:rsid w:val="0000671E"/>
    <w:rsid w:val="00006A14"/>
    <w:rsid w:val="00024193"/>
    <w:rsid w:val="00024BAC"/>
    <w:rsid w:val="00061FFC"/>
    <w:rsid w:val="00063B59"/>
    <w:rsid w:val="000A62CA"/>
    <w:rsid w:val="000B5621"/>
    <w:rsid w:val="000C2F36"/>
    <w:rsid w:val="000D128D"/>
    <w:rsid w:val="000D3945"/>
    <w:rsid w:val="000F45EF"/>
    <w:rsid w:val="001012EE"/>
    <w:rsid w:val="00106641"/>
    <w:rsid w:val="00123871"/>
    <w:rsid w:val="0015474C"/>
    <w:rsid w:val="0017638F"/>
    <w:rsid w:val="00186BED"/>
    <w:rsid w:val="001A0D12"/>
    <w:rsid w:val="001B22D4"/>
    <w:rsid w:val="001B5ACD"/>
    <w:rsid w:val="001B5DF0"/>
    <w:rsid w:val="001C3F6D"/>
    <w:rsid w:val="001F3BD6"/>
    <w:rsid w:val="00205DEB"/>
    <w:rsid w:val="002131EE"/>
    <w:rsid w:val="0021661C"/>
    <w:rsid w:val="00236928"/>
    <w:rsid w:val="002518B6"/>
    <w:rsid w:val="002527EC"/>
    <w:rsid w:val="0027450C"/>
    <w:rsid w:val="00295217"/>
    <w:rsid w:val="002C3402"/>
    <w:rsid w:val="002E6D22"/>
    <w:rsid w:val="00316FC7"/>
    <w:rsid w:val="00326891"/>
    <w:rsid w:val="00352F5B"/>
    <w:rsid w:val="00381C06"/>
    <w:rsid w:val="00393488"/>
    <w:rsid w:val="003B0049"/>
    <w:rsid w:val="003B00B1"/>
    <w:rsid w:val="003B7019"/>
    <w:rsid w:val="003D562D"/>
    <w:rsid w:val="003E45E5"/>
    <w:rsid w:val="003F6899"/>
    <w:rsid w:val="004038F3"/>
    <w:rsid w:val="00436AA3"/>
    <w:rsid w:val="00460915"/>
    <w:rsid w:val="00474033"/>
    <w:rsid w:val="00476550"/>
    <w:rsid w:val="00490475"/>
    <w:rsid w:val="00490490"/>
    <w:rsid w:val="004A5F09"/>
    <w:rsid w:val="004C1B28"/>
    <w:rsid w:val="004C2843"/>
    <w:rsid w:val="004C6C30"/>
    <w:rsid w:val="004D28B3"/>
    <w:rsid w:val="00514633"/>
    <w:rsid w:val="005346C6"/>
    <w:rsid w:val="005705E5"/>
    <w:rsid w:val="00594D31"/>
    <w:rsid w:val="005A1B4F"/>
    <w:rsid w:val="005A7EFF"/>
    <w:rsid w:val="005E33CF"/>
    <w:rsid w:val="005F7101"/>
    <w:rsid w:val="0066525C"/>
    <w:rsid w:val="006662FA"/>
    <w:rsid w:val="006B6DDF"/>
    <w:rsid w:val="006E570D"/>
    <w:rsid w:val="006F1BB9"/>
    <w:rsid w:val="0074166A"/>
    <w:rsid w:val="007766C2"/>
    <w:rsid w:val="00787C24"/>
    <w:rsid w:val="007D37A5"/>
    <w:rsid w:val="00814F7F"/>
    <w:rsid w:val="00823C6A"/>
    <w:rsid w:val="008B023A"/>
    <w:rsid w:val="008B434A"/>
    <w:rsid w:val="008C5246"/>
    <w:rsid w:val="008F3ED8"/>
    <w:rsid w:val="008F7302"/>
    <w:rsid w:val="00915601"/>
    <w:rsid w:val="009507E3"/>
    <w:rsid w:val="00971DDE"/>
    <w:rsid w:val="00973412"/>
    <w:rsid w:val="0099215B"/>
    <w:rsid w:val="009948A7"/>
    <w:rsid w:val="009E225A"/>
    <w:rsid w:val="009E50DA"/>
    <w:rsid w:val="009F5925"/>
    <w:rsid w:val="00A60F81"/>
    <w:rsid w:val="00AC3E90"/>
    <w:rsid w:val="00AE2A12"/>
    <w:rsid w:val="00B10501"/>
    <w:rsid w:val="00B41C47"/>
    <w:rsid w:val="00B54A98"/>
    <w:rsid w:val="00B60578"/>
    <w:rsid w:val="00BB0449"/>
    <w:rsid w:val="00BE740E"/>
    <w:rsid w:val="00C5182C"/>
    <w:rsid w:val="00C65A7D"/>
    <w:rsid w:val="00C74764"/>
    <w:rsid w:val="00CA7D36"/>
    <w:rsid w:val="00CD789F"/>
    <w:rsid w:val="00CD7D0C"/>
    <w:rsid w:val="00CE48BC"/>
    <w:rsid w:val="00CF0422"/>
    <w:rsid w:val="00CF49C5"/>
    <w:rsid w:val="00D05A74"/>
    <w:rsid w:val="00D06CAC"/>
    <w:rsid w:val="00D22144"/>
    <w:rsid w:val="00D309BD"/>
    <w:rsid w:val="00D54E0C"/>
    <w:rsid w:val="00D63347"/>
    <w:rsid w:val="00D832CF"/>
    <w:rsid w:val="00DA33C1"/>
    <w:rsid w:val="00DC4D44"/>
    <w:rsid w:val="00DF1FA0"/>
    <w:rsid w:val="00E244E2"/>
    <w:rsid w:val="00E3258B"/>
    <w:rsid w:val="00E504F1"/>
    <w:rsid w:val="00E52723"/>
    <w:rsid w:val="00E56668"/>
    <w:rsid w:val="00E63E77"/>
    <w:rsid w:val="00E860E2"/>
    <w:rsid w:val="00E955BA"/>
    <w:rsid w:val="00ED2231"/>
    <w:rsid w:val="00EF3E3A"/>
    <w:rsid w:val="00F137F0"/>
    <w:rsid w:val="00F2118D"/>
    <w:rsid w:val="00F354EF"/>
    <w:rsid w:val="00F57D0C"/>
    <w:rsid w:val="00FC2132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1C4140-839F-40BF-8E7A-E43AAB94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5C"/>
    <w:rPr>
      <w:sz w:val="24"/>
      <w:szCs w:val="24"/>
    </w:rPr>
  </w:style>
  <w:style w:type="paragraph" w:styleId="Ttulo1">
    <w:name w:val="heading 1"/>
    <w:basedOn w:val="Normal"/>
    <w:next w:val="Normal"/>
    <w:qFormat/>
    <w:rsid w:val="0066525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6525C"/>
    <w:pPr>
      <w:keepNext/>
      <w:ind w:right="-139"/>
      <w:jc w:val="center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316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6F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6FC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16FC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7E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7EF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16FC7"/>
    <w:pPr>
      <w:ind w:left="5245" w:hanging="709"/>
      <w:jc w:val="both"/>
    </w:pPr>
    <w:rPr>
      <w:b/>
      <w:i/>
      <w:szCs w:val="20"/>
    </w:rPr>
  </w:style>
  <w:style w:type="character" w:styleId="Nmerodepgina">
    <w:name w:val="page number"/>
    <w:basedOn w:val="Fontepargpadro"/>
    <w:rsid w:val="008C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Anastacio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2</cp:revision>
  <cp:lastPrinted>2013-03-26T14:34:00Z</cp:lastPrinted>
  <dcterms:created xsi:type="dcterms:W3CDTF">2016-04-28T13:33:00Z</dcterms:created>
  <dcterms:modified xsi:type="dcterms:W3CDTF">2016-04-28T13:33:00Z</dcterms:modified>
</cp:coreProperties>
</file>