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Default="000D128D" w:rsidP="0066525C">
      <w:pPr>
        <w:jc w:val="both"/>
      </w:pPr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3C4A43" w:rsidP="00E244E2">
      <w:pPr>
        <w:jc w:val="center"/>
        <w:rPr>
          <w:b/>
        </w:rPr>
      </w:pPr>
      <w:r>
        <w:rPr>
          <w:b/>
        </w:rPr>
        <w:t>FUNDO MUNICIPAL D</w:t>
      </w:r>
      <w:r w:rsidR="00E006E0">
        <w:rPr>
          <w:b/>
        </w:rPr>
        <w:t>OS DIREITOS DA CRIANÇA E DO ADOLESCENTE</w:t>
      </w:r>
    </w:p>
    <w:p w:rsidR="00316FC7" w:rsidRPr="000D128D" w:rsidRDefault="00454B72" w:rsidP="00E244E2">
      <w:pPr>
        <w:jc w:val="center"/>
        <w:rPr>
          <w:b/>
        </w:rPr>
      </w:pPr>
      <w:r>
        <w:rPr>
          <w:b/>
        </w:rPr>
        <w:t>Exercício 2014</w:t>
      </w:r>
    </w:p>
    <w:p w:rsidR="00E244E2" w:rsidRDefault="00E244E2" w:rsidP="00E244E2">
      <w:pPr>
        <w:jc w:val="both"/>
      </w:pPr>
    </w:p>
    <w:p w:rsidR="00E244E2" w:rsidRDefault="00E244E2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BD5468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Estado de Mato Grosso do Sul TCE/MS, a fim de atender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316FC7">
        <w:t xml:space="preserve"> a Prestação de Contas Anual </w:t>
      </w:r>
      <w:r w:rsidR="002F1DC2">
        <w:t xml:space="preserve">do Fundo Municipal </w:t>
      </w:r>
      <w:r w:rsidR="00E006E0">
        <w:t>dos Direitos da Criança e do Adolescente</w:t>
      </w:r>
      <w:r>
        <w:t xml:space="preserve"> </w:t>
      </w:r>
      <w:r w:rsidR="00316FC7">
        <w:t>deste Município r</w:t>
      </w:r>
      <w:r w:rsidR="003C4A43">
        <w:t>elativo</w:t>
      </w:r>
      <w:r w:rsidR="00BD5468">
        <w:t xml:space="preserve"> ao exercício de 201</w:t>
      </w:r>
      <w:r w:rsidR="00454B72">
        <w:t>4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Administração Financeira e Patrimonial </w:t>
      </w:r>
      <w:r w:rsidR="00460915">
        <w:t>do referido Fundo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 xml:space="preserve">A respeito das peças contábeis que acompanham este Relatório, passamos a tecer alguns comentários </w:t>
      </w:r>
      <w:r w:rsidR="00454B72">
        <w:t>a</w:t>
      </w:r>
      <w:r>
        <w:t xml:space="preserve"> guisa de análise e interpretação de vários aspectos apresentados pelos respectivos resultados, conforme segue: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1 - EXECUÇÃO ORÇAMENTÁRIA: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execução orçamentária do exercício está sinteticamente demonstrada no Balanço Orçamentário e, analiticamente, nos anexos explicativos da Receita e da Despesa, conforme exigências contidas na Lei nº 4.320/64 e demais recomendações legais e regulamentares pertinentes.</w:t>
      </w:r>
    </w:p>
    <w:p w:rsidR="00316FC7" w:rsidRDefault="00316FC7" w:rsidP="00316FC7">
      <w:pPr>
        <w:ind w:firstLine="2835"/>
        <w:jc w:val="both"/>
      </w:pPr>
      <w:r>
        <w:t>Essa execução foi em resumo:</w:t>
      </w:r>
    </w:p>
    <w:p w:rsidR="00316FC7" w:rsidRDefault="00316FC7" w:rsidP="00316FC7">
      <w:pPr>
        <w:ind w:firstLine="2835"/>
        <w:jc w:val="both"/>
      </w:pPr>
    </w:p>
    <w:tbl>
      <w:tblPr>
        <w:tblW w:w="8647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489"/>
        <w:gridCol w:w="2764"/>
        <w:gridCol w:w="1417"/>
      </w:tblGrid>
      <w:tr w:rsidR="00316FC7"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6F1BB9" w:rsidP="00BB0449">
            <w:pPr>
              <w:jc w:val="both"/>
            </w:pPr>
            <w:r>
              <w:t>PREVISÃO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454B72" w:rsidP="00BB0449">
            <w:pPr>
              <w:jc w:val="right"/>
            </w:pPr>
            <w:r>
              <w:t>0</w:t>
            </w:r>
            <w:r w:rsidR="00E006E0">
              <w:t>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454B72" w:rsidP="00BB0449">
            <w:pPr>
              <w:jc w:val="both"/>
            </w:pPr>
            <w:r>
              <w:t>LIQUIDADAS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454B72">
            <w:pPr>
              <w:jc w:val="right"/>
            </w:pPr>
            <w:r>
              <w:t xml:space="preserve"> </w:t>
            </w:r>
            <w:r w:rsidR="00454B72">
              <w:t>0,00</w:t>
            </w:r>
          </w:p>
        </w:tc>
      </w:tr>
      <w:tr w:rsidR="00BD5468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EXECUÇÃO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454B72" w:rsidP="00BB0449">
            <w:pPr>
              <w:jc w:val="right"/>
            </w:pPr>
            <w:r>
              <w:t>22,05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454B72" w:rsidP="00BB0449">
            <w:pPr>
              <w:jc w:val="both"/>
            </w:pPr>
            <w:r>
              <w:t>PAGAS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454B72" w:rsidP="001C32CF">
            <w:pPr>
              <w:jc w:val="right"/>
            </w:pPr>
            <w:r>
              <w:t>0,00</w:t>
            </w:r>
          </w:p>
        </w:tc>
      </w:tr>
      <w:tr w:rsidR="00BD5468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DIFERENÇA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454B72" w:rsidP="00920C03">
            <w:pPr>
              <w:jc w:val="right"/>
            </w:pPr>
            <w:r>
              <w:t>22,05</w:t>
            </w:r>
            <w:r w:rsidR="00BD5468"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DIFERENÇA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454B72" w:rsidP="00920C03">
            <w:pPr>
              <w:jc w:val="right"/>
            </w:pPr>
            <w:r>
              <w:t>0,00</w:t>
            </w:r>
            <w:r w:rsidR="00BD5468">
              <w:t xml:space="preserve"> </w:t>
            </w:r>
          </w:p>
        </w:tc>
      </w:tr>
    </w:tbl>
    <w:p w:rsidR="00316FC7" w:rsidRDefault="00316FC7" w:rsidP="000D3945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1.1 - RECEITA:</w:t>
      </w:r>
    </w:p>
    <w:p w:rsidR="00316FC7" w:rsidRDefault="00316FC7" w:rsidP="00316FC7">
      <w:pPr>
        <w:ind w:firstLine="567"/>
        <w:jc w:val="both"/>
      </w:pPr>
    </w:p>
    <w:p w:rsidR="00316FC7" w:rsidRDefault="00316FC7" w:rsidP="00316FC7">
      <w:pPr>
        <w:ind w:firstLine="2835"/>
        <w:jc w:val="both"/>
      </w:pPr>
      <w:r>
        <w:t xml:space="preserve">A Receita alcançou os seguintes montantes e índices em relação </w:t>
      </w:r>
      <w:r w:rsidR="000D3945">
        <w:t>ao</w:t>
      </w:r>
      <w:r>
        <w:t xml:space="preserve"> total (resumo):</w:t>
      </w:r>
    </w:p>
    <w:p w:rsidR="00316FC7" w:rsidRDefault="00316FC7" w:rsidP="00316FC7">
      <w:pPr>
        <w:jc w:val="both"/>
      </w:pPr>
    </w:p>
    <w:p w:rsidR="00E661D4" w:rsidRDefault="00E661D4" w:rsidP="00316FC7">
      <w:pPr>
        <w:jc w:val="both"/>
      </w:pPr>
    </w:p>
    <w:p w:rsidR="00E661D4" w:rsidRDefault="00E661D4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2495"/>
        <w:gridCol w:w="1531"/>
      </w:tblGrid>
      <w:tr w:rsidR="00316FC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ESPECIFICAÇÃO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16F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  <w:r w:rsidRPr="006E570D">
              <w:rPr>
                <w:b/>
              </w:rPr>
              <w:t>RECEITAS CORRENTES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</w:p>
        </w:tc>
      </w:tr>
      <w:tr w:rsidR="0011707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117076" w:rsidP="00BB0449">
            <w:pPr>
              <w:ind w:firstLine="284"/>
              <w:jc w:val="both"/>
            </w:pPr>
            <w:r w:rsidRPr="006E570D">
              <w:t>Receita Patrimonial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454B72" w:rsidP="00BB0449">
            <w:pPr>
              <w:jc w:val="right"/>
            </w:pPr>
            <w:r>
              <w:t>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454B72">
            <w:pPr>
              <w:jc w:val="right"/>
            </w:pPr>
            <w:r>
              <w:t>100,00</w:t>
            </w:r>
          </w:p>
        </w:tc>
      </w:tr>
      <w:tr w:rsidR="00316FC7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6FC7" w:rsidRDefault="00454B72" w:rsidP="00BB0449">
            <w:pPr>
              <w:jc w:val="right"/>
              <w:rPr>
                <w:b/>
              </w:rPr>
            </w:pPr>
            <w:r>
              <w:rPr>
                <w:b/>
              </w:rPr>
              <w:t>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971DDE" w:rsidP="00BB0449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1.2 - DESPESA:</w:t>
      </w:r>
    </w:p>
    <w:p w:rsidR="00316FC7" w:rsidRDefault="00316FC7" w:rsidP="00316FC7">
      <w:pPr>
        <w:jc w:val="both"/>
      </w:pPr>
    </w:p>
    <w:p w:rsidR="00316FC7" w:rsidRPr="00454B72" w:rsidRDefault="00454B72" w:rsidP="00454B72">
      <w:pPr>
        <w:ind w:firstLine="2835"/>
        <w:jc w:val="both"/>
      </w:pPr>
      <w:r>
        <w:t>Não houve despesa no exercício de 2014, como demonstrado nas peças específicas.</w:t>
      </w:r>
    </w:p>
    <w:p w:rsidR="006E570D" w:rsidRDefault="006E570D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2 - BALANÇO FINANCEIRO:</w:t>
      </w:r>
    </w:p>
    <w:p w:rsidR="00316FC7" w:rsidRDefault="00316FC7" w:rsidP="00123871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O movimento de numerário (entrada e saída de recursos financeiros) durante o exercício é demonstrado no Balanço Financeiro, no qual se </w:t>
      </w:r>
      <w:r w:rsidR="00454B72">
        <w:t>evidencia</w:t>
      </w:r>
      <w:r>
        <w:t xml:space="preserve"> as disponibilidades existentes no início e no fim daquele período, correspondente à demonstração do Fluxo de Caixa.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Por meio desse Balanço, se pode avaliar não apenas as disponibi</w:t>
      </w:r>
      <w:r w:rsidR="00117076">
        <w:t>lidades imediatas, mas,</w:t>
      </w:r>
      <w:r>
        <w:t xml:space="preserve"> sobretudo, a natureza das rendas e dos recebimentos de valores de espécies variadas e sua aplicação em despesas e outras destinações. O Balanço Financeiro </w:t>
      </w:r>
      <w:r w:rsidR="00117076">
        <w:t>do Fundo Municipal dos Direitos da Criança e do Adolescente</w:t>
      </w:r>
      <w:r>
        <w:t xml:space="preserve"> relati</w:t>
      </w:r>
      <w:r w:rsidR="00295038">
        <w:t>vo ao</w:t>
      </w:r>
      <w:r w:rsidR="00454B72">
        <w:t xml:space="preserve"> exercício de 2014</w:t>
      </w:r>
      <w:r>
        <w:t xml:space="preserve"> pode ser assim resumido:</w:t>
      </w:r>
    </w:p>
    <w:p w:rsidR="00316FC7" w:rsidRDefault="00316FC7" w:rsidP="00316FC7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418"/>
        <w:gridCol w:w="2977"/>
        <w:gridCol w:w="1559"/>
      </w:tblGrid>
      <w:tr w:rsidR="00316FC7">
        <w:trPr>
          <w:trHeight w:val="42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661D4">
        <w:trPr>
          <w:trHeight w:val="53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E661D4" w:rsidP="00BB0449">
            <w:pPr>
              <w:jc w:val="both"/>
            </w:pPr>
            <w:r>
              <w:t>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454B72" w:rsidP="00BB0449">
            <w:pPr>
              <w:jc w:val="right"/>
            </w:pPr>
            <w:r>
              <w:t>22,05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E661D4" w:rsidP="00F92B6E">
            <w:pPr>
              <w:jc w:val="both"/>
            </w:pPr>
            <w:r>
              <w:t>Saldo atual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454B72" w:rsidP="00F92B6E">
            <w:pPr>
              <w:jc w:val="right"/>
            </w:pPr>
            <w:r>
              <w:t>363,15</w:t>
            </w:r>
          </w:p>
        </w:tc>
      </w:tr>
      <w:tr w:rsidR="00316FC7">
        <w:trPr>
          <w:trHeight w:val="53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  <w:r>
              <w:t xml:space="preserve">Saldo </w:t>
            </w:r>
            <w:r w:rsidR="00123871">
              <w:t>anterior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454B72" w:rsidP="00BB0449">
            <w:pPr>
              <w:jc w:val="right"/>
            </w:pPr>
            <w:r>
              <w:t>341,10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right"/>
            </w:pPr>
          </w:p>
        </w:tc>
      </w:tr>
      <w:tr w:rsidR="00316FC7">
        <w:trPr>
          <w:trHeight w:val="484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454B72" w:rsidP="00BB0449">
            <w:pPr>
              <w:jc w:val="right"/>
              <w:rPr>
                <w:b/>
              </w:rPr>
            </w:pPr>
            <w:r>
              <w:rPr>
                <w:b/>
              </w:rPr>
              <w:t>363,15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454B72" w:rsidP="00BB0449">
            <w:pPr>
              <w:jc w:val="right"/>
              <w:rPr>
                <w:b/>
              </w:rPr>
            </w:pPr>
            <w:r>
              <w:rPr>
                <w:b/>
              </w:rPr>
              <w:t>363,15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A </w:t>
      </w:r>
      <w:r w:rsidR="00454B72">
        <w:t>única</w:t>
      </w:r>
      <w:r>
        <w:t xml:space="preserve"> f</w:t>
      </w:r>
      <w:r w:rsidR="00117076">
        <w:t>o</w:t>
      </w:r>
      <w:r w:rsidR="00454B72">
        <w:t>nte da receita orçamentária verificou-se na receita patrimonial</w:t>
      </w:r>
      <w:r w:rsidR="00A57DEA">
        <w:t>.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3 - BALANÇO PATRIMONIAL: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Balanço Patrimonial.</w:t>
      </w:r>
    </w:p>
    <w:p w:rsidR="00316FC7" w:rsidRDefault="00316FC7" w:rsidP="00316FC7">
      <w:pPr>
        <w:ind w:firstLine="2835"/>
        <w:jc w:val="both"/>
      </w:pPr>
    </w:p>
    <w:p w:rsidR="00316FC7" w:rsidRDefault="00A57DEA" w:rsidP="00316FC7">
      <w:pPr>
        <w:ind w:firstLine="2835"/>
        <w:jc w:val="both"/>
      </w:pPr>
      <w:r>
        <w:t>O exercício de 2014</w:t>
      </w:r>
      <w:r w:rsidR="00316FC7">
        <w:t xml:space="preserve"> revelou a seguinte situação, em resumo, para o Patrimônio do </w:t>
      </w:r>
      <w:r w:rsidR="00AE6361">
        <w:t>Fundo Municipal dos Direitos da Criança e Adolescente</w:t>
      </w:r>
      <w:r w:rsidR="00316FC7">
        <w:t>.</w:t>
      </w:r>
    </w:p>
    <w:p w:rsidR="00123871" w:rsidRDefault="00123871" w:rsidP="00316FC7">
      <w:pPr>
        <w:jc w:val="both"/>
      </w:pPr>
    </w:p>
    <w:tbl>
      <w:tblPr>
        <w:tblW w:w="920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418"/>
        <w:gridCol w:w="3005"/>
        <w:gridCol w:w="1588"/>
      </w:tblGrid>
      <w:tr w:rsidR="00442101" w:rsidTr="00A57DE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82D77" w:rsidTr="00A57D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57DEA">
            <w:pPr>
              <w:jc w:val="both"/>
            </w:pPr>
            <w:r>
              <w:t xml:space="preserve">ATIVO </w:t>
            </w:r>
            <w:r w:rsidR="00A57DEA">
              <w:t>CIRCULANTE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A57DEA" w:rsidP="00A33CC5">
            <w:pPr>
              <w:jc w:val="right"/>
            </w:pPr>
            <w:r>
              <w:t>363,15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77" w:rsidRDefault="00A57DEA" w:rsidP="00A33CC5">
            <w:pPr>
              <w:jc w:val="both"/>
            </w:pPr>
            <w:r>
              <w:t>PATRIMÔNIO LÍQUIDO</w:t>
            </w:r>
          </w:p>
          <w:p w:rsidR="00482D77" w:rsidRDefault="00482D77" w:rsidP="00A57DEA">
            <w:pPr>
              <w:jc w:val="both"/>
            </w:pPr>
            <w:r>
              <w:t>.</w:t>
            </w:r>
            <w:r w:rsidR="00A57DEA">
              <w:t>Resultados do exercício</w:t>
            </w:r>
          </w:p>
          <w:p w:rsidR="00A57DEA" w:rsidRDefault="00A57DEA" w:rsidP="00A57DEA">
            <w:pPr>
              <w:jc w:val="both"/>
            </w:pPr>
            <w:r>
              <w:t>.Resultados de exercícios anteriores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EA" w:rsidRDefault="00A57DEA" w:rsidP="00A33CC5">
            <w:pPr>
              <w:jc w:val="right"/>
            </w:pPr>
          </w:p>
          <w:p w:rsidR="00A57DEA" w:rsidRDefault="00A57DEA" w:rsidP="00A33CC5">
            <w:pPr>
              <w:jc w:val="right"/>
            </w:pPr>
            <w:r>
              <w:t>22,05</w:t>
            </w:r>
          </w:p>
          <w:p w:rsidR="00A57DEA" w:rsidRDefault="00A57DEA" w:rsidP="00A33CC5">
            <w:pPr>
              <w:jc w:val="right"/>
            </w:pPr>
          </w:p>
          <w:p w:rsidR="00482D77" w:rsidRPr="00E661D4" w:rsidRDefault="00E661D4" w:rsidP="00A33CC5">
            <w:pPr>
              <w:jc w:val="right"/>
            </w:pPr>
            <w:r w:rsidRPr="00E661D4">
              <w:t>25.791,10</w:t>
            </w:r>
          </w:p>
        </w:tc>
      </w:tr>
      <w:tr w:rsidR="00482D77" w:rsidTr="00A57D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both"/>
            </w:pPr>
            <w:r>
              <w:t xml:space="preserve">ATIVO </w:t>
            </w:r>
            <w:r w:rsidR="00A57DEA">
              <w:t>NÃO CIRCULANTE</w:t>
            </w:r>
          </w:p>
          <w:p w:rsidR="00482D77" w:rsidRDefault="00482D77" w:rsidP="00A33CC5">
            <w:pPr>
              <w:jc w:val="both"/>
            </w:pPr>
            <w:r>
              <w:t>.Bens móveis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A" w:rsidRDefault="00A57DEA" w:rsidP="00A33CC5">
            <w:pPr>
              <w:jc w:val="right"/>
            </w:pPr>
          </w:p>
          <w:p w:rsidR="00482D77" w:rsidRDefault="00482D77" w:rsidP="00A33CC5">
            <w:pPr>
              <w:jc w:val="right"/>
            </w:pPr>
            <w:r>
              <w:t>25.450,00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both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right"/>
            </w:pPr>
          </w:p>
        </w:tc>
      </w:tr>
      <w:tr w:rsidR="00442101" w:rsidTr="00A57DEA"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A57DEA" w:rsidP="00A33CC5">
            <w:pPr>
              <w:jc w:val="right"/>
              <w:rPr>
                <w:b/>
              </w:rPr>
            </w:pPr>
            <w:r>
              <w:rPr>
                <w:b/>
              </w:rPr>
              <w:t>25.813,15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A57DEA" w:rsidP="00A33CC5">
            <w:pPr>
              <w:jc w:val="right"/>
              <w:rPr>
                <w:b/>
              </w:rPr>
            </w:pPr>
            <w:r>
              <w:rPr>
                <w:b/>
              </w:rPr>
              <w:t>25.813,15</w:t>
            </w:r>
          </w:p>
        </w:tc>
      </w:tr>
    </w:tbl>
    <w:p w:rsidR="00442101" w:rsidRDefault="00442101" w:rsidP="00316FC7">
      <w:pPr>
        <w:ind w:firstLine="2835"/>
        <w:jc w:val="both"/>
      </w:pPr>
    </w:p>
    <w:p w:rsidR="00316FC7" w:rsidRDefault="00675F93" w:rsidP="00442101">
      <w:pPr>
        <w:ind w:firstLine="2835"/>
        <w:jc w:val="both"/>
      </w:pPr>
      <w:r>
        <w:t xml:space="preserve">O exercício encerrou, portanto, com uma situação positiva de R$ </w:t>
      </w:r>
      <w:r w:rsidR="00E661D4">
        <w:t>25.</w:t>
      </w:r>
      <w:r w:rsidR="000F7311">
        <w:t>813,15</w:t>
      </w:r>
      <w:r>
        <w:t xml:space="preserve"> (excesso do Ativo sobre o Passivo), conforme pode ser constatado na demonstração do quadro correspondente</w:t>
      </w:r>
      <w:r w:rsidR="00F70EDF">
        <w:t>.</w:t>
      </w:r>
    </w:p>
    <w:p w:rsidR="00EE66C0" w:rsidRDefault="00EE66C0" w:rsidP="00EE66C0">
      <w:pPr>
        <w:jc w:val="both"/>
      </w:pPr>
    </w:p>
    <w:p w:rsidR="00EE66C0" w:rsidRPr="00EE66C0" w:rsidRDefault="00EE66C0" w:rsidP="00EE66C0">
      <w:pPr>
        <w:ind w:firstLine="708"/>
        <w:jc w:val="both"/>
        <w:rPr>
          <w:b/>
        </w:rPr>
      </w:pPr>
      <w:r>
        <w:rPr>
          <w:b/>
        </w:rPr>
        <w:t>3.1 - ATIVO FINANCEIRO:</w:t>
      </w:r>
    </w:p>
    <w:p w:rsidR="00EE66C0" w:rsidRDefault="00EE66C0" w:rsidP="00EE66C0">
      <w:pPr>
        <w:ind w:firstLine="2835"/>
        <w:jc w:val="both"/>
      </w:pPr>
    </w:p>
    <w:p w:rsidR="00EE66C0" w:rsidRDefault="00EE66C0" w:rsidP="00EE66C0">
      <w:pPr>
        <w:ind w:firstLine="2835"/>
        <w:jc w:val="both"/>
      </w:pPr>
      <w:r>
        <w:t>Segundo o parágrafo 1º do art. 105, da Lei nº 4.320/64, o Ativo Financeiro “compreenderá os créditos e valores realizáveis independentemente de autorização orçamentária e os valores numéricos”, isto é, compõem esse grupo de contas do disponível e do realizável. O presente Balanço demonstra a seguinte composição, relativamente ao Ativo Financeiro.</w:t>
      </w:r>
    </w:p>
    <w:p w:rsidR="00EE66C0" w:rsidRPr="00EE66C0" w:rsidRDefault="00EE66C0" w:rsidP="00EE66C0">
      <w:pPr>
        <w:pStyle w:val="Ttulo5"/>
        <w:rPr>
          <w:i w:val="0"/>
        </w:rPr>
      </w:pPr>
      <w:r w:rsidRPr="00EE66C0">
        <w:rPr>
          <w:i w:val="0"/>
        </w:rPr>
        <w:t>DISPONÍVEL</w:t>
      </w:r>
    </w:p>
    <w:p w:rsidR="00EE66C0" w:rsidRDefault="00EE66C0" w:rsidP="00EE66C0">
      <w:pPr>
        <w:jc w:val="both"/>
        <w:rPr>
          <w:b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607"/>
      </w:tblGrid>
      <w:tr w:rsidR="00EE66C0">
        <w:tc>
          <w:tcPr>
            <w:tcW w:w="2835" w:type="dxa"/>
          </w:tcPr>
          <w:p w:rsidR="00EE66C0" w:rsidRDefault="000F7311" w:rsidP="00A33CC5">
            <w:pPr>
              <w:jc w:val="both"/>
            </w:pPr>
            <w:r>
              <w:t>Créditos a curto prazo</w:t>
            </w:r>
          </w:p>
        </w:tc>
        <w:tc>
          <w:tcPr>
            <w:tcW w:w="1607" w:type="dxa"/>
          </w:tcPr>
          <w:p w:rsidR="00EE66C0" w:rsidRDefault="000F7311" w:rsidP="00A33CC5">
            <w:pPr>
              <w:jc w:val="right"/>
            </w:pPr>
            <w:r>
              <w:t>363,15</w:t>
            </w:r>
          </w:p>
        </w:tc>
      </w:tr>
      <w:tr w:rsidR="00EE66C0">
        <w:tc>
          <w:tcPr>
            <w:tcW w:w="2835" w:type="dxa"/>
          </w:tcPr>
          <w:p w:rsidR="00EE66C0" w:rsidRDefault="00EE66C0" w:rsidP="00A33CC5">
            <w:pPr>
              <w:jc w:val="both"/>
              <w:rPr>
                <w:b/>
              </w:rPr>
            </w:pPr>
            <w:r>
              <w:rPr>
                <w:b/>
              </w:rPr>
              <w:t>T O T A L</w:t>
            </w:r>
          </w:p>
        </w:tc>
        <w:tc>
          <w:tcPr>
            <w:tcW w:w="1607" w:type="dxa"/>
          </w:tcPr>
          <w:p w:rsidR="00EE66C0" w:rsidRDefault="00EE66C0" w:rsidP="000F7311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482D77">
              <w:rPr>
                <w:b/>
              </w:rPr>
              <w:t>3</w:t>
            </w:r>
            <w:r w:rsidR="000F7311">
              <w:rPr>
                <w:b/>
              </w:rPr>
              <w:t>63,15</w:t>
            </w:r>
          </w:p>
        </w:tc>
      </w:tr>
    </w:tbl>
    <w:p w:rsidR="00EE66C0" w:rsidRDefault="00EE66C0" w:rsidP="00EE66C0">
      <w:pPr>
        <w:ind w:firstLine="567"/>
        <w:jc w:val="both"/>
      </w:pPr>
    </w:p>
    <w:p w:rsidR="00377C6F" w:rsidRDefault="00377C6F" w:rsidP="00EE66C0">
      <w:pPr>
        <w:ind w:firstLine="567"/>
        <w:jc w:val="both"/>
        <w:rPr>
          <w:b/>
        </w:rPr>
      </w:pPr>
    </w:p>
    <w:p w:rsidR="00377C6F" w:rsidRDefault="00377C6F" w:rsidP="00377C6F">
      <w:pPr>
        <w:ind w:firstLine="567"/>
        <w:jc w:val="both"/>
        <w:rPr>
          <w:b/>
        </w:rPr>
      </w:pPr>
      <w:r>
        <w:rPr>
          <w:b/>
        </w:rPr>
        <w:t>3.2 - ATIVO PERMANENTE:</w:t>
      </w:r>
    </w:p>
    <w:p w:rsidR="00377C6F" w:rsidRDefault="00377C6F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  <w:r>
        <w:t>Compõem o Ativo Permanente os bens, créditos e valores cuja alienação ou mobilização dependa de autorização legislativa (parágrafo 2º, art. 105, Lei Cit.).</w:t>
      </w:r>
    </w:p>
    <w:p w:rsidR="00377C6F" w:rsidRDefault="00377C6F" w:rsidP="00482D77">
      <w:pPr>
        <w:jc w:val="both"/>
      </w:pPr>
    </w:p>
    <w:p w:rsidR="00377C6F" w:rsidRDefault="00377C6F" w:rsidP="00377C6F">
      <w:pPr>
        <w:ind w:firstLine="2835"/>
        <w:jc w:val="both"/>
      </w:pPr>
      <w:r>
        <w:t>O Ativo Permanente do Fundo Municipal dos Direitos da Criança e do Adol</w:t>
      </w:r>
      <w:r w:rsidR="00482D77">
        <w:t>escente, existente em 31</w:t>
      </w:r>
      <w:r w:rsidR="00145B21">
        <w:t>.12.2014</w:t>
      </w:r>
      <w:r>
        <w:t>, era o seguinte, em resumo:</w:t>
      </w:r>
    </w:p>
    <w:p w:rsidR="00377C6F" w:rsidRDefault="00377C6F" w:rsidP="00482D77">
      <w:pPr>
        <w:jc w:val="both"/>
      </w:pPr>
    </w:p>
    <w:tbl>
      <w:tblPr>
        <w:tblW w:w="6470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1"/>
        <w:gridCol w:w="694"/>
        <w:gridCol w:w="1615"/>
      </w:tblGrid>
      <w:tr w:rsidR="00377C6F">
        <w:tc>
          <w:tcPr>
            <w:tcW w:w="4161" w:type="dxa"/>
          </w:tcPr>
          <w:p w:rsidR="00377C6F" w:rsidRDefault="00377C6F" w:rsidP="00766C6F">
            <w:pPr>
              <w:jc w:val="both"/>
            </w:pPr>
            <w:r>
              <w:t xml:space="preserve">Bens Móveis </w:t>
            </w:r>
          </w:p>
        </w:tc>
        <w:tc>
          <w:tcPr>
            <w:tcW w:w="694" w:type="dxa"/>
          </w:tcPr>
          <w:p w:rsidR="00377C6F" w:rsidRDefault="00377C6F" w:rsidP="00766C6F">
            <w:pPr>
              <w:jc w:val="center"/>
            </w:pPr>
            <w:r>
              <w:t>R$</w:t>
            </w:r>
          </w:p>
        </w:tc>
        <w:tc>
          <w:tcPr>
            <w:tcW w:w="1615" w:type="dxa"/>
          </w:tcPr>
          <w:p w:rsidR="00377C6F" w:rsidRDefault="00377C6F" w:rsidP="00766C6F">
            <w:pPr>
              <w:jc w:val="right"/>
            </w:pPr>
            <w:r>
              <w:t>25.450,00</w:t>
            </w:r>
          </w:p>
        </w:tc>
      </w:tr>
      <w:tr w:rsidR="00377C6F">
        <w:tc>
          <w:tcPr>
            <w:tcW w:w="4161" w:type="dxa"/>
          </w:tcPr>
          <w:p w:rsidR="00377C6F" w:rsidRDefault="00377C6F" w:rsidP="00766C6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94" w:type="dxa"/>
          </w:tcPr>
          <w:p w:rsidR="00377C6F" w:rsidRDefault="00377C6F" w:rsidP="00766C6F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615" w:type="dxa"/>
          </w:tcPr>
          <w:p w:rsidR="00377C6F" w:rsidRDefault="00377C6F" w:rsidP="00766C6F">
            <w:pPr>
              <w:jc w:val="right"/>
              <w:rPr>
                <w:b/>
              </w:rPr>
            </w:pPr>
            <w:r>
              <w:rPr>
                <w:b/>
              </w:rPr>
              <w:t>25.450,00</w:t>
            </w:r>
          </w:p>
        </w:tc>
      </w:tr>
    </w:tbl>
    <w:p w:rsidR="00316FC7" w:rsidRDefault="00316FC7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lastRenderedPageBreak/>
        <w:t>Esta demonstração, também denominada “Balanço Econômico”, tem a seguinte definição na Lei nº 4.320, citada no seu artigo 104:</w:t>
      </w:r>
    </w:p>
    <w:p w:rsidR="00377C6F" w:rsidRDefault="00377C6F" w:rsidP="00482D77">
      <w:pPr>
        <w:jc w:val="both"/>
      </w:pPr>
    </w:p>
    <w:p w:rsidR="00316FC7" w:rsidRDefault="00316FC7" w:rsidP="00316FC7">
      <w:pPr>
        <w:ind w:firstLine="2835"/>
        <w:jc w:val="both"/>
      </w:pPr>
      <w:r>
        <w:t>“A Demonstração das Variações Patrimoniais evidenciará as alterações verificadas no patrimônio, resultantes ou independentes da execução orçamentária, e indicará o resultado patrimonial do exercício”.</w:t>
      </w:r>
    </w:p>
    <w:p w:rsidR="00316FC7" w:rsidRDefault="00316FC7" w:rsidP="00482D77">
      <w:pPr>
        <w:jc w:val="both"/>
      </w:pPr>
    </w:p>
    <w:p w:rsidR="00316FC7" w:rsidRDefault="00316FC7" w:rsidP="00316FC7">
      <w:pPr>
        <w:ind w:firstLine="2835"/>
        <w:jc w:val="both"/>
      </w:pPr>
      <w:r>
        <w:t>Referido quadro demonstrativo revela os seguintes resultados, em resumo:</w:t>
      </w:r>
    </w:p>
    <w:p w:rsidR="00316FC7" w:rsidRDefault="00316FC7" w:rsidP="00316FC7">
      <w:pPr>
        <w:jc w:val="both"/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851"/>
        <w:gridCol w:w="3685"/>
        <w:gridCol w:w="1105"/>
      </w:tblGrid>
      <w:tr w:rsidR="00316FC7" w:rsidTr="007671BA">
        <w:tc>
          <w:tcPr>
            <w:tcW w:w="3473" w:type="dxa"/>
          </w:tcPr>
          <w:p w:rsidR="00316FC7" w:rsidRDefault="00316FC7" w:rsidP="00145B21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VARIAÇÕES </w:t>
            </w:r>
            <w:r w:rsidR="00145B21">
              <w:rPr>
                <w:b/>
              </w:rPr>
              <w:t>PATRIMONIAIS AUMENTATIVAS</w:t>
            </w:r>
          </w:p>
        </w:tc>
        <w:tc>
          <w:tcPr>
            <w:tcW w:w="851" w:type="dxa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685" w:type="dxa"/>
          </w:tcPr>
          <w:p w:rsidR="00316FC7" w:rsidRDefault="00316FC7" w:rsidP="00145B21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VARIAÇÕES </w:t>
            </w:r>
            <w:r w:rsidR="00145B21">
              <w:rPr>
                <w:b/>
              </w:rPr>
              <w:t>PATRIMONIAIS DIMINUTIVAS</w:t>
            </w:r>
          </w:p>
        </w:tc>
        <w:tc>
          <w:tcPr>
            <w:tcW w:w="1105" w:type="dxa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 w:rsidTr="007671BA">
        <w:trPr>
          <w:trHeight w:val="696"/>
        </w:trPr>
        <w:tc>
          <w:tcPr>
            <w:tcW w:w="3473" w:type="dxa"/>
          </w:tcPr>
          <w:p w:rsidR="00AE2B82" w:rsidRDefault="00AE2B82" w:rsidP="00BB0449">
            <w:pPr>
              <w:jc w:val="both"/>
            </w:pPr>
            <w:r>
              <w:t>FINANCEIRAS</w:t>
            </w:r>
          </w:p>
          <w:p w:rsidR="00316FC7" w:rsidRDefault="00AE2B82" w:rsidP="00BB0449">
            <w:pPr>
              <w:jc w:val="both"/>
            </w:pPr>
            <w:r>
              <w:t>.</w:t>
            </w:r>
            <w:r w:rsidR="00145B21">
              <w:t>Remuneração de depósitos bancários e aplicações financeiras</w:t>
            </w:r>
          </w:p>
        </w:tc>
        <w:tc>
          <w:tcPr>
            <w:tcW w:w="851" w:type="dxa"/>
          </w:tcPr>
          <w:p w:rsidR="0099215B" w:rsidRDefault="0099215B" w:rsidP="00BB0449">
            <w:pPr>
              <w:jc w:val="right"/>
            </w:pPr>
          </w:p>
          <w:p w:rsidR="00316FC7" w:rsidRDefault="00145B21" w:rsidP="00BB0449">
            <w:pPr>
              <w:jc w:val="right"/>
            </w:pPr>
            <w:r>
              <w:t>22,05</w:t>
            </w:r>
          </w:p>
        </w:tc>
        <w:tc>
          <w:tcPr>
            <w:tcW w:w="3685" w:type="dxa"/>
          </w:tcPr>
          <w:p w:rsidR="00316FC7" w:rsidRPr="00AE2B82" w:rsidRDefault="00AE2B82" w:rsidP="00BB0449">
            <w:pPr>
              <w:jc w:val="both"/>
            </w:pPr>
            <w:r w:rsidRPr="00AE2B82">
              <w:t>VARIAÇÕES PATRIMONIAIS DIMINUTIVAS</w:t>
            </w:r>
          </w:p>
        </w:tc>
        <w:tc>
          <w:tcPr>
            <w:tcW w:w="1105" w:type="dxa"/>
          </w:tcPr>
          <w:p w:rsidR="00316FC7" w:rsidRDefault="00316FC7" w:rsidP="00BB0449">
            <w:pPr>
              <w:jc w:val="right"/>
            </w:pPr>
          </w:p>
          <w:p w:rsidR="00316FC7" w:rsidRDefault="00AE2B82" w:rsidP="00BB0449">
            <w:pPr>
              <w:jc w:val="right"/>
            </w:pPr>
            <w:r>
              <w:t>0,00</w:t>
            </w:r>
          </w:p>
        </w:tc>
      </w:tr>
      <w:tr w:rsidR="00316FC7" w:rsidTr="007671BA">
        <w:tc>
          <w:tcPr>
            <w:tcW w:w="3473" w:type="dxa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1" w:type="dxa"/>
          </w:tcPr>
          <w:p w:rsidR="00316FC7" w:rsidRDefault="00145B21" w:rsidP="00BB0449">
            <w:pPr>
              <w:jc w:val="right"/>
              <w:rPr>
                <w:b/>
              </w:rPr>
            </w:pPr>
            <w:r>
              <w:rPr>
                <w:b/>
              </w:rPr>
              <w:t>22,05</w:t>
            </w:r>
          </w:p>
        </w:tc>
        <w:tc>
          <w:tcPr>
            <w:tcW w:w="3685" w:type="dxa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5" w:type="dxa"/>
          </w:tcPr>
          <w:p w:rsidR="00316FC7" w:rsidRDefault="00AE2B82" w:rsidP="00BB044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316FC7" w:rsidRDefault="00316FC7" w:rsidP="00915601">
      <w:pPr>
        <w:jc w:val="both"/>
      </w:pPr>
    </w:p>
    <w:p w:rsidR="008C5246" w:rsidRDefault="008C5246" w:rsidP="00316FC7">
      <w:pPr>
        <w:jc w:val="both"/>
      </w:pPr>
    </w:p>
    <w:p w:rsidR="008C5246" w:rsidRPr="00915601" w:rsidRDefault="008C5246" w:rsidP="00915601">
      <w:pPr>
        <w:ind w:firstLine="708"/>
        <w:jc w:val="both"/>
      </w:pPr>
      <w:r w:rsidRPr="00915601">
        <w:t xml:space="preserve">Em conclusão à análise feita </w:t>
      </w:r>
      <w:r w:rsidR="00915601" w:rsidRPr="00915601">
        <w:t xml:space="preserve">pela </w:t>
      </w:r>
      <w:r w:rsidRPr="00915601">
        <w:t>Controladoria Interna do Município de Anastácio quanto ao Balanço Geral Exer</w:t>
      </w:r>
      <w:r w:rsidR="008A295F">
        <w:t>cício/2014</w:t>
      </w:r>
      <w:r w:rsidR="007F702C">
        <w:t xml:space="preserve"> do Fundo Municipal dos Direitos da Criança e do Adolescente</w:t>
      </w:r>
      <w:r w:rsidRPr="00915601">
        <w:t xml:space="preserve"> da Secretaria Municipal </w:t>
      </w:r>
      <w:r w:rsidR="00915601">
        <w:t xml:space="preserve">de </w:t>
      </w:r>
      <w:r w:rsidR="007F702C">
        <w:t>Assistência Social</w:t>
      </w:r>
      <w:r w:rsidR="00915601">
        <w:t>, expresso</w:t>
      </w:r>
      <w:r w:rsidRPr="00915601">
        <w:t xml:space="preserve"> opinião conclusiva, sobre os principais registros formulados pela equipe financeira, sobre os atos de gestão do referido exercício, cuja certificação foi pela </w:t>
      </w:r>
      <w:r w:rsidRPr="00915601">
        <w:rPr>
          <w:b/>
          <w:bCs/>
        </w:rPr>
        <w:t>regularidade</w:t>
      </w:r>
      <w:r w:rsidRPr="00915601"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8C5246" w:rsidRDefault="008C5246" w:rsidP="00316FC7">
      <w:pPr>
        <w:jc w:val="both"/>
      </w:pPr>
    </w:p>
    <w:p w:rsidR="00915601" w:rsidRDefault="008C5246" w:rsidP="00E661D4">
      <w:pPr>
        <w:ind w:left="5664" w:firstLine="708"/>
        <w:jc w:val="both"/>
      </w:pPr>
      <w:r>
        <w:t>É o parecer, s.m.j.</w:t>
      </w:r>
    </w:p>
    <w:p w:rsidR="008A295F" w:rsidRDefault="008A295F" w:rsidP="00E661D4">
      <w:pPr>
        <w:ind w:firstLine="2835"/>
        <w:jc w:val="right"/>
      </w:pPr>
    </w:p>
    <w:p w:rsidR="008A295F" w:rsidRDefault="008A295F" w:rsidP="00E661D4">
      <w:pPr>
        <w:ind w:firstLine="2835"/>
        <w:jc w:val="right"/>
      </w:pPr>
    </w:p>
    <w:p w:rsidR="00976AAD" w:rsidRDefault="00482D77" w:rsidP="00E661D4">
      <w:pPr>
        <w:ind w:firstLine="2835"/>
        <w:jc w:val="right"/>
      </w:pPr>
      <w:r>
        <w:t>Anastácio-MS</w:t>
      </w:r>
      <w:r w:rsidR="008A295F">
        <w:t>, 26</w:t>
      </w:r>
      <w:r w:rsidR="00316FC7">
        <w:t xml:space="preserve"> de mar</w:t>
      </w:r>
      <w:r w:rsidR="008A295F">
        <w:t>ço de 2015</w:t>
      </w:r>
      <w:r w:rsidR="00316FC7">
        <w:t>.</w:t>
      </w:r>
    </w:p>
    <w:p w:rsidR="00915601" w:rsidRDefault="00915601" w:rsidP="00316FC7">
      <w:pPr>
        <w:jc w:val="both"/>
      </w:pPr>
    </w:p>
    <w:p w:rsidR="00E661D4" w:rsidRDefault="00E661D4" w:rsidP="00316FC7">
      <w:pPr>
        <w:jc w:val="both"/>
      </w:pPr>
    </w:p>
    <w:p w:rsidR="008A295F" w:rsidRDefault="008A295F" w:rsidP="00316FC7">
      <w:pPr>
        <w:jc w:val="both"/>
      </w:pPr>
    </w:p>
    <w:p w:rsidR="008A295F" w:rsidRDefault="008A295F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Default="00316FC7" w:rsidP="00316FC7">
      <w:pPr>
        <w:pStyle w:val="Ttulo2"/>
        <w:rPr>
          <w:b w:val="0"/>
          <w:sz w:val="24"/>
        </w:rPr>
      </w:pPr>
      <w:r>
        <w:rPr>
          <w:b w:val="0"/>
          <w:sz w:val="24"/>
        </w:rPr>
        <w:t>Chefe da Controladoria Interna</w:t>
      </w:r>
    </w:p>
    <w:p w:rsidR="00316FC7" w:rsidRDefault="00316FC7" w:rsidP="008C5246">
      <w:pPr>
        <w:jc w:val="center"/>
      </w:pPr>
    </w:p>
    <w:sectPr w:rsidR="00316FC7" w:rsidSect="005A7EFF">
      <w:headerReference w:type="default" r:id="rId6"/>
      <w:footerReference w:type="default" r:id="rId7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E6" w:rsidRDefault="000F15E6">
      <w:r>
        <w:separator/>
      </w:r>
    </w:p>
  </w:endnote>
  <w:endnote w:type="continuationSeparator" w:id="1">
    <w:p w:rsidR="000F15E6" w:rsidRDefault="000F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D54171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E6" w:rsidRDefault="000F15E6">
      <w:r>
        <w:separator/>
      </w:r>
    </w:p>
  </w:footnote>
  <w:footnote w:type="continuationSeparator" w:id="1">
    <w:p w:rsidR="000F15E6" w:rsidRDefault="000F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C7" w:rsidRDefault="00D54171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1C47"/>
    <w:rsid w:val="0000671E"/>
    <w:rsid w:val="00024193"/>
    <w:rsid w:val="00024BAC"/>
    <w:rsid w:val="00061FFC"/>
    <w:rsid w:val="00063B59"/>
    <w:rsid w:val="000D128D"/>
    <w:rsid w:val="000D3945"/>
    <w:rsid w:val="000F15E6"/>
    <w:rsid w:val="000F45EF"/>
    <w:rsid w:val="000F7311"/>
    <w:rsid w:val="00117076"/>
    <w:rsid w:val="00123871"/>
    <w:rsid w:val="00145B21"/>
    <w:rsid w:val="001513F5"/>
    <w:rsid w:val="00186BED"/>
    <w:rsid w:val="001A0D12"/>
    <w:rsid w:val="001B5DF0"/>
    <w:rsid w:val="001C32CF"/>
    <w:rsid w:val="001C3F6D"/>
    <w:rsid w:val="001C4341"/>
    <w:rsid w:val="001D6CC1"/>
    <w:rsid w:val="001F6296"/>
    <w:rsid w:val="00205DEB"/>
    <w:rsid w:val="002131EE"/>
    <w:rsid w:val="0021661C"/>
    <w:rsid w:val="0027450C"/>
    <w:rsid w:val="00295038"/>
    <w:rsid w:val="002D58E4"/>
    <w:rsid w:val="002E6D22"/>
    <w:rsid w:val="002F1DC2"/>
    <w:rsid w:val="00316FC7"/>
    <w:rsid w:val="00352F5B"/>
    <w:rsid w:val="00377C6F"/>
    <w:rsid w:val="00381C06"/>
    <w:rsid w:val="00393488"/>
    <w:rsid w:val="003B0049"/>
    <w:rsid w:val="003B00B1"/>
    <w:rsid w:val="003B7019"/>
    <w:rsid w:val="003C4A43"/>
    <w:rsid w:val="003E45E5"/>
    <w:rsid w:val="003F6899"/>
    <w:rsid w:val="004038F3"/>
    <w:rsid w:val="0042021E"/>
    <w:rsid w:val="00436AA3"/>
    <w:rsid w:val="00442101"/>
    <w:rsid w:val="00454B72"/>
    <w:rsid w:val="00460915"/>
    <w:rsid w:val="00474033"/>
    <w:rsid w:val="00482D77"/>
    <w:rsid w:val="00490475"/>
    <w:rsid w:val="004C1B28"/>
    <w:rsid w:val="004C2843"/>
    <w:rsid w:val="004C2DF7"/>
    <w:rsid w:val="004D28B3"/>
    <w:rsid w:val="005346C6"/>
    <w:rsid w:val="00553CAC"/>
    <w:rsid w:val="00594D31"/>
    <w:rsid w:val="005A7EFF"/>
    <w:rsid w:val="005E33CF"/>
    <w:rsid w:val="005F7101"/>
    <w:rsid w:val="0066525C"/>
    <w:rsid w:val="006662FA"/>
    <w:rsid w:val="00675F93"/>
    <w:rsid w:val="0069023B"/>
    <w:rsid w:val="006E570D"/>
    <w:rsid w:val="006F1BB9"/>
    <w:rsid w:val="00740BB2"/>
    <w:rsid w:val="0074166A"/>
    <w:rsid w:val="00766C6F"/>
    <w:rsid w:val="007671BA"/>
    <w:rsid w:val="007D37A5"/>
    <w:rsid w:val="007E063D"/>
    <w:rsid w:val="007F702C"/>
    <w:rsid w:val="00823C6A"/>
    <w:rsid w:val="008A295F"/>
    <w:rsid w:val="008B434A"/>
    <w:rsid w:val="008B73DB"/>
    <w:rsid w:val="008C5246"/>
    <w:rsid w:val="008F3ED8"/>
    <w:rsid w:val="00915601"/>
    <w:rsid w:val="00920C03"/>
    <w:rsid w:val="00955E3C"/>
    <w:rsid w:val="00971DDE"/>
    <w:rsid w:val="00976AAD"/>
    <w:rsid w:val="0099215B"/>
    <w:rsid w:val="009948A7"/>
    <w:rsid w:val="009E225A"/>
    <w:rsid w:val="009F5925"/>
    <w:rsid w:val="00A33CC5"/>
    <w:rsid w:val="00A57DEA"/>
    <w:rsid w:val="00A60F81"/>
    <w:rsid w:val="00A76D98"/>
    <w:rsid w:val="00AC3320"/>
    <w:rsid w:val="00AC3E90"/>
    <w:rsid w:val="00AE0F6E"/>
    <w:rsid w:val="00AE2B82"/>
    <w:rsid w:val="00AE6361"/>
    <w:rsid w:val="00B10501"/>
    <w:rsid w:val="00B41C47"/>
    <w:rsid w:val="00B54A98"/>
    <w:rsid w:val="00B60578"/>
    <w:rsid w:val="00BB0449"/>
    <w:rsid w:val="00BD5468"/>
    <w:rsid w:val="00C91847"/>
    <w:rsid w:val="00CF0422"/>
    <w:rsid w:val="00CF2025"/>
    <w:rsid w:val="00CF49C5"/>
    <w:rsid w:val="00D03130"/>
    <w:rsid w:val="00D22144"/>
    <w:rsid w:val="00D309BD"/>
    <w:rsid w:val="00D54171"/>
    <w:rsid w:val="00D54E0C"/>
    <w:rsid w:val="00D832CF"/>
    <w:rsid w:val="00DA33C1"/>
    <w:rsid w:val="00DF1FA0"/>
    <w:rsid w:val="00E006E0"/>
    <w:rsid w:val="00E244E2"/>
    <w:rsid w:val="00E661D4"/>
    <w:rsid w:val="00E860E2"/>
    <w:rsid w:val="00E955BA"/>
    <w:rsid w:val="00EB37B4"/>
    <w:rsid w:val="00EE66C0"/>
    <w:rsid w:val="00EF3E3A"/>
    <w:rsid w:val="00F354EF"/>
    <w:rsid w:val="00F57D0C"/>
    <w:rsid w:val="00F70EDF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creator>Administração</dc:creator>
  <cp:lastModifiedBy>Pc</cp:lastModifiedBy>
  <cp:revision>9</cp:revision>
  <cp:lastPrinted>2013-03-26T13:07:00Z</cp:lastPrinted>
  <dcterms:created xsi:type="dcterms:W3CDTF">2014-03-27T15:24:00Z</dcterms:created>
  <dcterms:modified xsi:type="dcterms:W3CDTF">2015-03-26T16:19:00Z</dcterms:modified>
</cp:coreProperties>
</file>