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C4A43" w:rsidP="00E244E2">
      <w:pPr>
        <w:jc w:val="center"/>
        <w:rPr>
          <w:b/>
        </w:rPr>
      </w:pPr>
      <w:r>
        <w:rPr>
          <w:b/>
        </w:rPr>
        <w:t xml:space="preserve">FUNDO MUNICIPAL </w:t>
      </w:r>
      <w:r w:rsidR="00C17D09">
        <w:rPr>
          <w:b/>
        </w:rPr>
        <w:t>ANTIDROGAS</w:t>
      </w:r>
    </w:p>
    <w:p w:rsidR="00316FC7" w:rsidRPr="000D128D" w:rsidRDefault="00454B72" w:rsidP="00E244E2">
      <w:pPr>
        <w:jc w:val="center"/>
        <w:rPr>
          <w:b/>
        </w:rPr>
      </w:pPr>
      <w:r>
        <w:rPr>
          <w:b/>
        </w:rPr>
        <w:t>Exercício 2014</w:t>
      </w:r>
    </w:p>
    <w:p w:rsidR="00E244E2" w:rsidRDefault="00E244E2" w:rsidP="00E244E2">
      <w:pPr>
        <w:jc w:val="both"/>
      </w:pP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BD5468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 w:rsidR="002F1DC2">
        <w:t xml:space="preserve">do Fundo Municipal </w:t>
      </w:r>
      <w:r w:rsidR="00C17D09">
        <w:t>Antidrogas</w:t>
      </w:r>
      <w:r w:rsidR="00F25D4C">
        <w:t xml:space="preserve"> - FMAD</w:t>
      </w:r>
      <w:r>
        <w:t xml:space="preserve"> </w:t>
      </w:r>
      <w:r w:rsidR="00336C01">
        <w:t xml:space="preserve">da Secretaria de Saúde </w:t>
      </w:r>
      <w:r w:rsidR="00316FC7">
        <w:t>deste Município r</w:t>
      </w:r>
      <w:r w:rsidR="003C4A43">
        <w:t>elativo</w:t>
      </w:r>
      <w:r w:rsidR="00BD5468">
        <w:t xml:space="preserve"> ao exercício de 201</w:t>
      </w:r>
      <w:r w:rsidR="00454B72">
        <w:t>4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 xml:space="preserve">A respeito das peças contábeis que acompanham este Relatório, passamos a tecer alguns comentários </w:t>
      </w:r>
      <w:r w:rsidR="00454B72">
        <w:t>a</w:t>
      </w:r>
      <w:r>
        <w:t xml:space="preserve">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316FC7" w:rsidRDefault="00316FC7" w:rsidP="00316FC7">
      <w:pPr>
        <w:ind w:firstLine="2835"/>
        <w:jc w:val="both"/>
      </w:pPr>
      <w:r>
        <w:t>Essa execução foi em resumo:</w:t>
      </w:r>
    </w:p>
    <w:p w:rsidR="00316FC7" w:rsidRDefault="00316FC7" w:rsidP="00316FC7">
      <w:pPr>
        <w:ind w:firstLine="2835"/>
        <w:jc w:val="both"/>
      </w:pPr>
    </w:p>
    <w:tbl>
      <w:tblPr>
        <w:tblW w:w="8647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89"/>
        <w:gridCol w:w="2764"/>
        <w:gridCol w:w="1417"/>
      </w:tblGrid>
      <w:tr w:rsidR="00316FC7" w:rsidTr="00336C01">
        <w:trPr>
          <w:trHeight w:val="3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336C01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6F1BB9" w:rsidP="00BB0449">
            <w:pPr>
              <w:jc w:val="both"/>
            </w:pPr>
            <w:r>
              <w:t>PREVISÃO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454B72" w:rsidP="00BB0449">
            <w:pPr>
              <w:jc w:val="right"/>
            </w:pPr>
            <w:r>
              <w:t>0</w:t>
            </w:r>
            <w:r w:rsidR="00E006E0">
              <w:t>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454B72" w:rsidP="00BB0449">
            <w:pPr>
              <w:jc w:val="both"/>
            </w:pPr>
            <w:r>
              <w:t>LIQUIDADAS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C17D09" w:rsidP="00454B72">
            <w:pPr>
              <w:jc w:val="right"/>
            </w:pPr>
            <w:r>
              <w:t>25.000,00</w:t>
            </w:r>
          </w:p>
        </w:tc>
      </w:tr>
      <w:tr w:rsidR="00BD5468" w:rsidTr="00336C01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EXECUÇÃO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C17D09" w:rsidP="00BB0449">
            <w:pPr>
              <w:jc w:val="right"/>
            </w:pPr>
            <w:r>
              <w:t>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454B72" w:rsidP="00BB0449">
            <w:pPr>
              <w:jc w:val="both"/>
            </w:pPr>
            <w:r>
              <w:t>PAGAS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468" w:rsidRDefault="00C17D09" w:rsidP="001C32CF">
            <w:pPr>
              <w:jc w:val="right"/>
            </w:pPr>
            <w:r>
              <w:t>25.000,00</w:t>
            </w:r>
          </w:p>
        </w:tc>
      </w:tr>
      <w:tr w:rsidR="00BD5468" w:rsidTr="00336C01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DIFERENÇA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C17D09" w:rsidP="00920C03">
            <w:pPr>
              <w:jc w:val="right"/>
            </w:pPr>
            <w:r>
              <w:t>0,00</w:t>
            </w:r>
            <w:r w:rsidR="00BD5468"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BD5468" w:rsidP="00BB0449">
            <w:pPr>
              <w:jc w:val="both"/>
            </w:pPr>
            <w:r>
              <w:t>DIFERENÇA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68" w:rsidRDefault="00454B72" w:rsidP="00920C03">
            <w:pPr>
              <w:jc w:val="right"/>
            </w:pPr>
            <w:r>
              <w:t>0,00</w:t>
            </w:r>
            <w:r w:rsidR="00BD5468">
              <w:t xml:space="preserve"> </w:t>
            </w:r>
          </w:p>
        </w:tc>
      </w:tr>
    </w:tbl>
    <w:p w:rsidR="00316FC7" w:rsidRDefault="00316FC7" w:rsidP="000D3945">
      <w:pPr>
        <w:jc w:val="both"/>
      </w:pPr>
    </w:p>
    <w:p w:rsidR="00316FC7" w:rsidRPr="00336C01" w:rsidRDefault="00316FC7" w:rsidP="00336C01">
      <w:pPr>
        <w:ind w:firstLine="567"/>
        <w:jc w:val="both"/>
        <w:rPr>
          <w:b/>
        </w:rPr>
      </w:pPr>
      <w:r>
        <w:rPr>
          <w:b/>
        </w:rPr>
        <w:t>1.1 - RECEITA:</w:t>
      </w:r>
    </w:p>
    <w:p w:rsidR="00C17D09" w:rsidRPr="00454B72" w:rsidRDefault="00C17D09" w:rsidP="00C17D09">
      <w:pPr>
        <w:ind w:firstLine="2835"/>
        <w:jc w:val="both"/>
      </w:pPr>
      <w:r>
        <w:t>Não houve receitas correntes ou de capital no exercício de 2014, como demonstrado nas peças específicas.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1.2 - DESPESA:</w:t>
      </w:r>
    </w:p>
    <w:p w:rsidR="00316FC7" w:rsidRPr="00336C01" w:rsidRDefault="00316FC7" w:rsidP="00316FC7">
      <w:pPr>
        <w:jc w:val="both"/>
        <w:rPr>
          <w:sz w:val="20"/>
          <w:szCs w:val="20"/>
        </w:rPr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2495"/>
        <w:gridCol w:w="1531"/>
      </w:tblGrid>
      <w:tr w:rsidR="00C17D09" w:rsidTr="002F061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17D09" w:rsidRDefault="00C17D09" w:rsidP="002F061C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D09" w:rsidRDefault="00C17D09" w:rsidP="002F061C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7D09" w:rsidRDefault="00C17D09" w:rsidP="002F061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17D09" w:rsidTr="002F06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9" w:rsidRPr="00C17D09" w:rsidRDefault="00C17D09" w:rsidP="002F061C">
            <w:pPr>
              <w:jc w:val="both"/>
            </w:pPr>
            <w:r w:rsidRPr="00C17D09">
              <w:t>DESPESAS ORÇAMENTÁRIAS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9" w:rsidRPr="006E570D" w:rsidRDefault="00C17D09" w:rsidP="002F061C">
            <w:pPr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9" w:rsidRPr="006E570D" w:rsidRDefault="00C17D09" w:rsidP="002F061C">
            <w:pPr>
              <w:jc w:val="both"/>
              <w:rPr>
                <w:b/>
              </w:rPr>
            </w:pPr>
          </w:p>
        </w:tc>
      </w:tr>
      <w:tr w:rsidR="00C17D09" w:rsidTr="002F061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9" w:rsidRPr="006E570D" w:rsidRDefault="00C17D09" w:rsidP="002F061C">
            <w:pPr>
              <w:ind w:firstLine="284"/>
              <w:jc w:val="both"/>
            </w:pPr>
            <w:r>
              <w:t>Outras despesas correntes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09" w:rsidRPr="006E570D" w:rsidRDefault="00C17D09" w:rsidP="002F061C">
            <w:pPr>
              <w:jc w:val="right"/>
            </w:pPr>
            <w:r>
              <w:t>25.000,00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D09" w:rsidRPr="00117076" w:rsidRDefault="00C17D09" w:rsidP="002F061C">
            <w:pPr>
              <w:jc w:val="right"/>
            </w:pPr>
            <w:r>
              <w:t>100,00</w:t>
            </w:r>
          </w:p>
        </w:tc>
      </w:tr>
      <w:tr w:rsidR="00C17D09" w:rsidTr="002F061C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09" w:rsidRDefault="00C17D09" w:rsidP="002F061C">
            <w:pPr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17D09" w:rsidRDefault="00C17D09" w:rsidP="002F061C">
            <w:pPr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09" w:rsidRDefault="00C17D09" w:rsidP="002F061C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O movimento de numerário (entrada e saída de recursos financeiros) durante o exercício é demonstrado no Balanço Financeiro, no qual se </w:t>
      </w:r>
      <w:r w:rsidR="00454B72">
        <w:t>evidencia</w:t>
      </w:r>
      <w:r>
        <w:t xml:space="preserve"> as disponibilidades existentes no início e no fim daquele período, correspondente à demonstração do Fluxo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Por meio desse Balanço, se pode avaliar não apenas as disponibi</w:t>
      </w:r>
      <w:r w:rsidR="00117076">
        <w:t>lidades imediatas, mas,</w:t>
      </w:r>
      <w:r>
        <w:t xml:space="preserve"> sobretudo, a natureza das rendas e dos recebimentos de valores de espécies variadas e sua aplicação em despesas e outras destinações. O Balanço Financeiro </w:t>
      </w:r>
      <w:r w:rsidR="00117076">
        <w:t xml:space="preserve">do Fundo Municipal </w:t>
      </w:r>
      <w:r w:rsidR="00C17D09">
        <w:t>Antidrogas</w:t>
      </w:r>
      <w:r>
        <w:t xml:space="preserve"> relati</w:t>
      </w:r>
      <w:r w:rsidR="00295038">
        <w:t>vo ao</w:t>
      </w:r>
      <w:r w:rsidR="00454B72">
        <w:t xml:space="preserve"> exercício de 2014</w:t>
      </w:r>
      <w:r>
        <w:t xml:space="preserve"> pode ser assim resumido:</w:t>
      </w:r>
    </w:p>
    <w:p w:rsidR="00316FC7" w:rsidRDefault="00316FC7" w:rsidP="00316FC7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418"/>
        <w:gridCol w:w="2977"/>
        <w:gridCol w:w="1559"/>
      </w:tblGrid>
      <w:tr w:rsidR="00316FC7">
        <w:trPr>
          <w:trHeight w:val="421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661D4"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E661D4" w:rsidP="00BB0449">
            <w:pPr>
              <w:jc w:val="both"/>
            </w:pPr>
            <w:r>
              <w:t>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F25D4C" w:rsidP="00BB0449">
            <w:pPr>
              <w:jc w:val="right"/>
            </w:pPr>
            <w: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F25D4C" w:rsidP="00F92B6E">
            <w:pPr>
              <w:jc w:val="both"/>
            </w:pPr>
            <w:r>
              <w:t>Orçamentária (Ordinária)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1D4" w:rsidRDefault="00F25D4C" w:rsidP="00F92B6E">
            <w:pPr>
              <w:jc w:val="right"/>
            </w:pPr>
            <w:r>
              <w:t>25.000,00</w:t>
            </w:r>
          </w:p>
        </w:tc>
      </w:tr>
      <w:tr w:rsidR="00316FC7">
        <w:trPr>
          <w:trHeight w:val="53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F25D4C" w:rsidP="00BB0449">
            <w:pPr>
              <w:jc w:val="both"/>
            </w:pPr>
            <w:r>
              <w:t>Transferências Financeiras</w:t>
            </w:r>
          </w:p>
          <w:p w:rsidR="00F25D4C" w:rsidRDefault="00F25D4C" w:rsidP="00BB0449">
            <w:pPr>
              <w:jc w:val="both"/>
            </w:pPr>
            <w:r>
              <w:t>.Recebimentos FMAD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D4C" w:rsidRDefault="00F25D4C" w:rsidP="00BB0449">
            <w:pPr>
              <w:jc w:val="right"/>
            </w:pPr>
          </w:p>
          <w:p w:rsidR="00316FC7" w:rsidRDefault="00F25D4C" w:rsidP="00BB0449">
            <w:pPr>
              <w:jc w:val="right"/>
            </w:pPr>
            <w:r>
              <w:t>25.000,00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right"/>
            </w:pPr>
          </w:p>
        </w:tc>
      </w:tr>
      <w:tr w:rsidR="00316FC7">
        <w:trPr>
          <w:trHeight w:val="484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F25D4C" w:rsidP="00BB0449">
            <w:pPr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F25D4C" w:rsidP="00BB0449">
            <w:pPr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A </w:t>
      </w:r>
      <w:r w:rsidR="00454B72">
        <w:t>única</w:t>
      </w:r>
      <w:r>
        <w:t xml:space="preserve"> f</w:t>
      </w:r>
      <w:r w:rsidR="00117076">
        <w:t>o</w:t>
      </w:r>
      <w:r w:rsidR="00F25D4C">
        <w:t>nte de</w:t>
      </w:r>
      <w:r w:rsidR="00454B72">
        <w:t xml:space="preserve"> receita</w:t>
      </w:r>
      <w:r w:rsidR="00F25D4C">
        <w:t xml:space="preserve"> no exercício de 2014</w:t>
      </w:r>
      <w:r w:rsidR="00454B72">
        <w:t xml:space="preserve"> verificou-se </w:t>
      </w:r>
      <w:r w:rsidR="00F25D4C">
        <w:t>nos Recebimentos FMAD</w:t>
      </w:r>
      <w:r w:rsidR="00A57DEA">
        <w:t>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</w:p>
    <w:p w:rsidR="00316FC7" w:rsidRDefault="00316FC7" w:rsidP="00316FC7">
      <w:pPr>
        <w:ind w:firstLine="2835"/>
        <w:jc w:val="both"/>
      </w:pPr>
    </w:p>
    <w:p w:rsidR="00316FC7" w:rsidRDefault="00A57DEA" w:rsidP="00316FC7">
      <w:pPr>
        <w:ind w:firstLine="2835"/>
        <w:jc w:val="both"/>
      </w:pPr>
      <w:r>
        <w:t>O exercício de 2014</w:t>
      </w:r>
      <w:r w:rsidR="00316FC7">
        <w:t xml:space="preserve"> revelou a seguinte situação, em resumo, para o Patrimônio do </w:t>
      </w:r>
      <w:r w:rsidR="00AE6361">
        <w:t xml:space="preserve">Fundo Municipal </w:t>
      </w:r>
      <w:r w:rsidR="00F25D4C">
        <w:t>Antidrogas</w:t>
      </w:r>
      <w:r w:rsidR="00316FC7">
        <w:t>.</w:t>
      </w:r>
    </w:p>
    <w:p w:rsidR="00123871" w:rsidRDefault="00123871" w:rsidP="00316FC7">
      <w:pPr>
        <w:jc w:val="both"/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418"/>
        <w:gridCol w:w="3005"/>
        <w:gridCol w:w="1588"/>
      </w:tblGrid>
      <w:tr w:rsidR="00442101" w:rsidTr="00F25D4C">
        <w:tc>
          <w:tcPr>
            <w:tcW w:w="3190" w:type="dxa"/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418" w:type="dxa"/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05" w:type="dxa"/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F25D4C" w:rsidTr="00F25D4C">
        <w:trPr>
          <w:trHeight w:val="317"/>
        </w:trPr>
        <w:tc>
          <w:tcPr>
            <w:tcW w:w="3190" w:type="dxa"/>
          </w:tcPr>
          <w:p w:rsidR="00F25D4C" w:rsidRDefault="00F25D4C" w:rsidP="00A57DEA">
            <w:pPr>
              <w:jc w:val="both"/>
            </w:pPr>
            <w:r>
              <w:t>ATIVO CIRCULANTE</w:t>
            </w:r>
          </w:p>
        </w:tc>
        <w:tc>
          <w:tcPr>
            <w:tcW w:w="1418" w:type="dxa"/>
          </w:tcPr>
          <w:p w:rsidR="00F25D4C" w:rsidRDefault="00F25D4C" w:rsidP="00A33CC5">
            <w:pPr>
              <w:jc w:val="right"/>
            </w:pPr>
            <w:r>
              <w:t>0,00</w:t>
            </w:r>
          </w:p>
        </w:tc>
        <w:tc>
          <w:tcPr>
            <w:tcW w:w="3005" w:type="dxa"/>
          </w:tcPr>
          <w:p w:rsidR="00F25D4C" w:rsidRDefault="00F25D4C" w:rsidP="00A57DEA">
            <w:pPr>
              <w:jc w:val="both"/>
            </w:pPr>
            <w:r>
              <w:t>PASIVO CIRCULANTE</w:t>
            </w:r>
          </w:p>
        </w:tc>
        <w:tc>
          <w:tcPr>
            <w:tcW w:w="1588" w:type="dxa"/>
          </w:tcPr>
          <w:p w:rsidR="00F25D4C" w:rsidRPr="00E661D4" w:rsidRDefault="00F25D4C" w:rsidP="00F25D4C">
            <w:pPr>
              <w:jc w:val="right"/>
            </w:pPr>
            <w:r>
              <w:t>0,00</w:t>
            </w:r>
          </w:p>
        </w:tc>
      </w:tr>
      <w:tr w:rsidR="00F25D4C" w:rsidTr="00F25D4C">
        <w:tc>
          <w:tcPr>
            <w:tcW w:w="3190" w:type="dxa"/>
          </w:tcPr>
          <w:p w:rsidR="00F25D4C" w:rsidRDefault="00F25D4C" w:rsidP="002F061C">
            <w:pPr>
              <w:jc w:val="both"/>
            </w:pPr>
            <w:r>
              <w:t>ATIVO NÃO CIRCULANTE</w:t>
            </w:r>
          </w:p>
        </w:tc>
        <w:tc>
          <w:tcPr>
            <w:tcW w:w="1418" w:type="dxa"/>
          </w:tcPr>
          <w:p w:rsidR="00F25D4C" w:rsidRDefault="00F25D4C" w:rsidP="002F061C">
            <w:pPr>
              <w:jc w:val="right"/>
            </w:pPr>
            <w:r>
              <w:t>0,00</w:t>
            </w:r>
          </w:p>
        </w:tc>
        <w:tc>
          <w:tcPr>
            <w:tcW w:w="3005" w:type="dxa"/>
          </w:tcPr>
          <w:p w:rsidR="00F25D4C" w:rsidRDefault="00F25D4C" w:rsidP="00F25D4C">
            <w:pPr>
              <w:rPr>
                <w:b/>
              </w:rPr>
            </w:pPr>
            <w:r>
              <w:t>PATRIMÔNIO LÌQUIDO</w:t>
            </w:r>
          </w:p>
        </w:tc>
        <w:tc>
          <w:tcPr>
            <w:tcW w:w="1588" w:type="dxa"/>
          </w:tcPr>
          <w:p w:rsidR="00F25D4C" w:rsidRDefault="00F25D4C" w:rsidP="00A33CC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42101" w:rsidTr="00F25D4C">
        <w:tc>
          <w:tcPr>
            <w:tcW w:w="3190" w:type="dxa"/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</w:tcPr>
          <w:p w:rsidR="00442101" w:rsidRDefault="00F25D4C" w:rsidP="00A33CC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05" w:type="dxa"/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</w:tcPr>
          <w:p w:rsidR="00442101" w:rsidRDefault="00F25D4C" w:rsidP="00A33CC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42101" w:rsidRDefault="00442101" w:rsidP="00316FC7">
      <w:pPr>
        <w:ind w:firstLine="2835"/>
        <w:jc w:val="both"/>
      </w:pPr>
    </w:p>
    <w:p w:rsidR="00316FC7" w:rsidRDefault="00675F93" w:rsidP="00442101">
      <w:pPr>
        <w:ind w:firstLine="2835"/>
        <w:jc w:val="both"/>
      </w:pPr>
      <w:r>
        <w:t xml:space="preserve">O exercício </w:t>
      </w:r>
      <w:r w:rsidR="00F25D4C">
        <w:t xml:space="preserve">de 2014 </w:t>
      </w:r>
      <w:r>
        <w:t>encerrou</w:t>
      </w:r>
      <w:r w:rsidR="00F25D4C">
        <w:t>-se sem que o FMAD registrasse qualquer ativo ou passivo</w:t>
      </w:r>
      <w:r w:rsidR="00F70EDF">
        <w:t>.</w:t>
      </w:r>
    </w:p>
    <w:p w:rsidR="00316FC7" w:rsidRDefault="00316FC7" w:rsidP="00316FC7">
      <w:pPr>
        <w:jc w:val="both"/>
        <w:rPr>
          <w:b/>
        </w:rPr>
      </w:pPr>
    </w:p>
    <w:p w:rsidR="00336C01" w:rsidRDefault="00336C01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</w:p>
    <w:p w:rsidR="00377C6F" w:rsidRDefault="00377C6F" w:rsidP="00482D77">
      <w:pPr>
        <w:jc w:val="both"/>
      </w:pPr>
    </w:p>
    <w:p w:rsidR="00316FC7" w:rsidRDefault="00316FC7" w:rsidP="00316FC7">
      <w:pPr>
        <w:ind w:firstLine="2835"/>
        <w:jc w:val="both"/>
      </w:pPr>
      <w:r>
        <w:t>“A Demonstração das Variações Patrimoniais evidenciará as alterações verificadas no patrimônio, resultantes ou independentes da execução orçamentária, e indicará o resultado patrimonial do exercício”.</w:t>
      </w:r>
    </w:p>
    <w:p w:rsidR="00316FC7" w:rsidRDefault="00316FC7" w:rsidP="00482D77">
      <w:pPr>
        <w:jc w:val="both"/>
      </w:pPr>
    </w:p>
    <w:p w:rsidR="00316FC7" w:rsidRDefault="00316FC7" w:rsidP="00316FC7">
      <w:pPr>
        <w:ind w:firstLine="2835"/>
        <w:jc w:val="both"/>
      </w:pPr>
      <w:r>
        <w:t>Referido quadro demonstrativo revela os seguintes resultados, em resumo:</w:t>
      </w:r>
    </w:p>
    <w:p w:rsidR="00316FC7" w:rsidRDefault="00316FC7" w:rsidP="00316FC7">
      <w:pPr>
        <w:jc w:val="both"/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1134"/>
        <w:gridCol w:w="3402"/>
        <w:gridCol w:w="1105"/>
      </w:tblGrid>
      <w:tr w:rsidR="00316FC7" w:rsidTr="00465C76">
        <w:tc>
          <w:tcPr>
            <w:tcW w:w="3473" w:type="dxa"/>
          </w:tcPr>
          <w:p w:rsidR="00316FC7" w:rsidRDefault="00465C76" w:rsidP="00465C76">
            <w:pPr>
              <w:jc w:val="center"/>
              <w:rPr>
                <w:b/>
              </w:rPr>
            </w:pPr>
            <w:r>
              <w:rPr>
                <w:b/>
              </w:rPr>
              <w:t>VARIAÇÃO PATRIMONIAL</w:t>
            </w:r>
            <w:r w:rsidR="00145B21">
              <w:rPr>
                <w:b/>
              </w:rPr>
              <w:t xml:space="preserve"> AUMENTATIVA</w:t>
            </w:r>
          </w:p>
        </w:tc>
        <w:tc>
          <w:tcPr>
            <w:tcW w:w="1134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402" w:type="dxa"/>
          </w:tcPr>
          <w:p w:rsidR="00316FC7" w:rsidRDefault="00465C76" w:rsidP="00145B21">
            <w:pPr>
              <w:jc w:val="center"/>
              <w:rPr>
                <w:b/>
              </w:rPr>
            </w:pPr>
            <w:r>
              <w:rPr>
                <w:b/>
              </w:rPr>
              <w:t>VARIAÇÃO</w:t>
            </w:r>
            <w:r w:rsidR="00316FC7">
              <w:rPr>
                <w:b/>
              </w:rPr>
              <w:t xml:space="preserve"> </w:t>
            </w:r>
            <w:r>
              <w:rPr>
                <w:b/>
              </w:rPr>
              <w:t xml:space="preserve">PATRIMONIAL </w:t>
            </w:r>
            <w:r w:rsidR="00145B21">
              <w:rPr>
                <w:b/>
              </w:rPr>
              <w:t>DIMINUTIVA</w:t>
            </w:r>
          </w:p>
        </w:tc>
        <w:tc>
          <w:tcPr>
            <w:tcW w:w="1105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465C76">
        <w:trPr>
          <w:trHeight w:val="696"/>
        </w:trPr>
        <w:tc>
          <w:tcPr>
            <w:tcW w:w="3473" w:type="dxa"/>
          </w:tcPr>
          <w:p w:rsidR="00AE2B82" w:rsidRDefault="00465C76" w:rsidP="00BB0449">
            <w:pPr>
              <w:jc w:val="both"/>
            </w:pPr>
            <w:r>
              <w:t>TRANSFERÊNCIAS E DELEGAÇÕES RECEBIDAS</w:t>
            </w:r>
          </w:p>
          <w:p w:rsidR="00316FC7" w:rsidRDefault="00AE2B82" w:rsidP="00465C76">
            <w:pPr>
              <w:jc w:val="both"/>
            </w:pPr>
            <w:r>
              <w:t>.</w:t>
            </w:r>
            <w:r w:rsidR="00465C76">
              <w:t>Transferências intragovernamentais</w:t>
            </w:r>
          </w:p>
        </w:tc>
        <w:tc>
          <w:tcPr>
            <w:tcW w:w="1134" w:type="dxa"/>
          </w:tcPr>
          <w:p w:rsidR="0099215B" w:rsidRDefault="0099215B" w:rsidP="00BB0449">
            <w:pPr>
              <w:jc w:val="right"/>
            </w:pPr>
          </w:p>
          <w:p w:rsidR="00316FC7" w:rsidRDefault="00465C76" w:rsidP="00BB0449">
            <w:pPr>
              <w:jc w:val="right"/>
            </w:pPr>
            <w:r>
              <w:t>25.000,00</w:t>
            </w:r>
          </w:p>
        </w:tc>
        <w:tc>
          <w:tcPr>
            <w:tcW w:w="3402" w:type="dxa"/>
          </w:tcPr>
          <w:p w:rsidR="00316FC7" w:rsidRDefault="00465C76" w:rsidP="00BB0449">
            <w:pPr>
              <w:jc w:val="both"/>
            </w:pPr>
            <w:r>
              <w:t>TRANSFERÊNCIAS E DELEGAÇÕES CONCEDIDAS</w:t>
            </w:r>
          </w:p>
          <w:p w:rsidR="00465C76" w:rsidRPr="00AE2B82" w:rsidRDefault="00465C76" w:rsidP="00BB0449">
            <w:pPr>
              <w:jc w:val="both"/>
            </w:pPr>
            <w:r>
              <w:t>.Transferências a instituições privadas</w:t>
            </w:r>
          </w:p>
        </w:tc>
        <w:tc>
          <w:tcPr>
            <w:tcW w:w="1105" w:type="dxa"/>
          </w:tcPr>
          <w:p w:rsidR="00316FC7" w:rsidRDefault="00316FC7" w:rsidP="00BB0449">
            <w:pPr>
              <w:jc w:val="right"/>
            </w:pPr>
          </w:p>
          <w:p w:rsidR="00316FC7" w:rsidRDefault="00465C76" w:rsidP="00BB0449">
            <w:pPr>
              <w:jc w:val="right"/>
            </w:pPr>
            <w:r>
              <w:t>25.000,00</w:t>
            </w:r>
          </w:p>
        </w:tc>
      </w:tr>
      <w:tr w:rsidR="00316FC7" w:rsidTr="00465C76">
        <w:tc>
          <w:tcPr>
            <w:tcW w:w="3473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</w:tcPr>
          <w:p w:rsidR="00316FC7" w:rsidRDefault="00465C76" w:rsidP="00BB0449">
            <w:pPr>
              <w:jc w:val="right"/>
              <w:rPr>
                <w:b/>
              </w:rPr>
            </w:pPr>
            <w:r>
              <w:rPr>
                <w:b/>
              </w:rPr>
              <w:t>25.000,00</w:t>
            </w:r>
          </w:p>
        </w:tc>
        <w:tc>
          <w:tcPr>
            <w:tcW w:w="3402" w:type="dxa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5" w:type="dxa"/>
          </w:tcPr>
          <w:p w:rsidR="00316FC7" w:rsidRDefault="00465C76" w:rsidP="00BB0449">
            <w:pPr>
              <w:jc w:val="right"/>
              <w:rPr>
                <w:b/>
              </w:rPr>
            </w:pPr>
            <w:r>
              <w:rPr>
                <w:b/>
              </w:rPr>
              <w:t>25.000</w:t>
            </w:r>
            <w:r w:rsidR="00AE2B82">
              <w:rPr>
                <w:b/>
              </w:rPr>
              <w:t>,00</w:t>
            </w:r>
          </w:p>
        </w:tc>
      </w:tr>
    </w:tbl>
    <w:p w:rsidR="00316FC7" w:rsidRDefault="00316FC7" w:rsidP="00915601">
      <w:pPr>
        <w:jc w:val="both"/>
      </w:pPr>
    </w:p>
    <w:p w:rsidR="008C5246" w:rsidRDefault="008C5246" w:rsidP="00316FC7">
      <w:pPr>
        <w:jc w:val="both"/>
      </w:pPr>
    </w:p>
    <w:p w:rsidR="008C5246" w:rsidRPr="00915601" w:rsidRDefault="008C5246" w:rsidP="00915601">
      <w:pPr>
        <w:ind w:firstLine="708"/>
        <w:jc w:val="both"/>
      </w:pPr>
      <w:r w:rsidRPr="00915601">
        <w:t xml:space="preserve">Em conclusão à análise feita </w:t>
      </w:r>
      <w:r w:rsidR="00915601" w:rsidRPr="00915601">
        <w:t xml:space="preserve">pela </w:t>
      </w:r>
      <w:r w:rsidRPr="00915601">
        <w:t>Controladoria Interna do Município de Anastácio quanto ao Balanço Geral Exer</w:t>
      </w:r>
      <w:r w:rsidR="008A295F">
        <w:t>cício/2014</w:t>
      </w:r>
      <w:r w:rsidR="007F702C">
        <w:t xml:space="preserve"> do Fundo Municipal </w:t>
      </w:r>
      <w:r w:rsidR="00336C01">
        <w:t>Antidrogas</w:t>
      </w:r>
      <w:r w:rsidRPr="00915601">
        <w:t xml:space="preserve"> da Secretaria Municipal </w:t>
      </w:r>
      <w:r w:rsidR="00915601">
        <w:t xml:space="preserve">de </w:t>
      </w:r>
      <w:r w:rsidR="00336C01">
        <w:t>Saúde</w:t>
      </w:r>
      <w:r w:rsidR="00915601">
        <w:t>, expresso</w:t>
      </w:r>
      <w:r w:rsidRPr="00915601">
        <w:t xml:space="preserve"> opinião conclusiva, sobre os principais registros formulados pela equipe financeira, sobre os 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8C5246" w:rsidRDefault="008C5246" w:rsidP="00316FC7">
      <w:pPr>
        <w:jc w:val="both"/>
      </w:pPr>
    </w:p>
    <w:p w:rsidR="00915601" w:rsidRDefault="008C5246" w:rsidP="00E661D4">
      <w:pPr>
        <w:ind w:left="5664" w:firstLine="708"/>
        <w:jc w:val="both"/>
      </w:pPr>
      <w:r>
        <w:t>É o parecer, s.m.j.</w:t>
      </w:r>
    </w:p>
    <w:p w:rsidR="008A295F" w:rsidRDefault="008A295F" w:rsidP="00E661D4">
      <w:pPr>
        <w:ind w:firstLine="2835"/>
        <w:jc w:val="right"/>
      </w:pPr>
    </w:p>
    <w:p w:rsidR="008A295F" w:rsidRDefault="008A295F" w:rsidP="00E661D4">
      <w:pPr>
        <w:ind w:firstLine="2835"/>
        <w:jc w:val="right"/>
      </w:pPr>
    </w:p>
    <w:p w:rsidR="00976AAD" w:rsidRDefault="00482D77" w:rsidP="00E661D4">
      <w:pPr>
        <w:ind w:firstLine="2835"/>
        <w:jc w:val="right"/>
      </w:pPr>
      <w:r>
        <w:t>Anastácio-MS</w:t>
      </w:r>
      <w:r w:rsidR="008A295F">
        <w:t>, 26</w:t>
      </w:r>
      <w:r w:rsidR="00316FC7">
        <w:t xml:space="preserve"> de mar</w:t>
      </w:r>
      <w:r w:rsidR="008A295F">
        <w:t>ço de 2015</w:t>
      </w:r>
      <w:r w:rsidR="00316FC7">
        <w:t>.</w:t>
      </w:r>
    </w:p>
    <w:p w:rsidR="00915601" w:rsidRDefault="00915601" w:rsidP="00316FC7">
      <w:pPr>
        <w:jc w:val="both"/>
      </w:pPr>
    </w:p>
    <w:p w:rsidR="00336C01" w:rsidRDefault="00336C01" w:rsidP="00316FC7">
      <w:pPr>
        <w:jc w:val="both"/>
      </w:pPr>
    </w:p>
    <w:p w:rsidR="008A295F" w:rsidRDefault="008A295F" w:rsidP="00316FC7">
      <w:pPr>
        <w:jc w:val="both"/>
      </w:pPr>
    </w:p>
    <w:p w:rsidR="008A295F" w:rsidRDefault="008A295F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Default="00316FC7" w:rsidP="00316FC7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p w:rsidR="00316FC7" w:rsidRDefault="00316FC7" w:rsidP="008C5246">
      <w:pPr>
        <w:jc w:val="center"/>
      </w:pPr>
    </w:p>
    <w:sectPr w:rsidR="00316FC7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56" w:rsidRDefault="00491756">
      <w:r>
        <w:separator/>
      </w:r>
    </w:p>
  </w:endnote>
  <w:endnote w:type="continuationSeparator" w:id="1">
    <w:p w:rsidR="00491756" w:rsidRDefault="0049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D54171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56" w:rsidRDefault="00491756">
      <w:r>
        <w:separator/>
      </w:r>
    </w:p>
  </w:footnote>
  <w:footnote w:type="continuationSeparator" w:id="1">
    <w:p w:rsidR="00491756" w:rsidRDefault="0049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D54171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4193"/>
    <w:rsid w:val="00024BAC"/>
    <w:rsid w:val="00061FFC"/>
    <w:rsid w:val="00063B59"/>
    <w:rsid w:val="000D128D"/>
    <w:rsid w:val="000D3945"/>
    <w:rsid w:val="000F45EF"/>
    <w:rsid w:val="000F7311"/>
    <w:rsid w:val="00117076"/>
    <w:rsid w:val="00123871"/>
    <w:rsid w:val="00145B21"/>
    <w:rsid w:val="001513F5"/>
    <w:rsid w:val="00186BED"/>
    <w:rsid w:val="001A0D12"/>
    <w:rsid w:val="001B5DF0"/>
    <w:rsid w:val="001C32CF"/>
    <w:rsid w:val="001C3F6D"/>
    <w:rsid w:val="001C4341"/>
    <w:rsid w:val="001D6CC1"/>
    <w:rsid w:val="001F6296"/>
    <w:rsid w:val="00205DEB"/>
    <w:rsid w:val="002131EE"/>
    <w:rsid w:val="0021661C"/>
    <w:rsid w:val="0027450C"/>
    <w:rsid w:val="00295038"/>
    <w:rsid w:val="002D58E4"/>
    <w:rsid w:val="002E6D22"/>
    <w:rsid w:val="002F1DC2"/>
    <w:rsid w:val="00316FC7"/>
    <w:rsid w:val="00336C01"/>
    <w:rsid w:val="00352F5B"/>
    <w:rsid w:val="00377C6F"/>
    <w:rsid w:val="00381C06"/>
    <w:rsid w:val="00393488"/>
    <w:rsid w:val="003B0049"/>
    <w:rsid w:val="003B00B1"/>
    <w:rsid w:val="003B7019"/>
    <w:rsid w:val="003C4A43"/>
    <w:rsid w:val="003E45E5"/>
    <w:rsid w:val="003F6899"/>
    <w:rsid w:val="004038F3"/>
    <w:rsid w:val="0042021E"/>
    <w:rsid w:val="00436AA3"/>
    <w:rsid w:val="00442101"/>
    <w:rsid w:val="00454B72"/>
    <w:rsid w:val="00460915"/>
    <w:rsid w:val="00465C76"/>
    <w:rsid w:val="00474033"/>
    <w:rsid w:val="00482D77"/>
    <w:rsid w:val="00490475"/>
    <w:rsid w:val="00491756"/>
    <w:rsid w:val="004C1B28"/>
    <w:rsid w:val="004C2843"/>
    <w:rsid w:val="004C2DF7"/>
    <w:rsid w:val="004D28B3"/>
    <w:rsid w:val="005346C6"/>
    <w:rsid w:val="00553CAC"/>
    <w:rsid w:val="00594D31"/>
    <w:rsid w:val="005A7EFF"/>
    <w:rsid w:val="005E33CF"/>
    <w:rsid w:val="005F7101"/>
    <w:rsid w:val="0066525C"/>
    <w:rsid w:val="006662FA"/>
    <w:rsid w:val="00675F93"/>
    <w:rsid w:val="0069023B"/>
    <w:rsid w:val="006E570D"/>
    <w:rsid w:val="006F1BB9"/>
    <w:rsid w:val="00740BB2"/>
    <w:rsid w:val="0074166A"/>
    <w:rsid w:val="00766C6F"/>
    <w:rsid w:val="007671BA"/>
    <w:rsid w:val="007D37A5"/>
    <w:rsid w:val="007E063D"/>
    <w:rsid w:val="007F702C"/>
    <w:rsid w:val="00823C6A"/>
    <w:rsid w:val="00843D89"/>
    <w:rsid w:val="008A295F"/>
    <w:rsid w:val="008B434A"/>
    <w:rsid w:val="008B73DB"/>
    <w:rsid w:val="008C5246"/>
    <w:rsid w:val="008F3ED8"/>
    <w:rsid w:val="00915601"/>
    <w:rsid w:val="00920C03"/>
    <w:rsid w:val="00955E3C"/>
    <w:rsid w:val="00971DDE"/>
    <w:rsid w:val="00976AAD"/>
    <w:rsid w:val="0099215B"/>
    <w:rsid w:val="009948A7"/>
    <w:rsid w:val="009E225A"/>
    <w:rsid w:val="009F5925"/>
    <w:rsid w:val="00A33CC5"/>
    <w:rsid w:val="00A57DEA"/>
    <w:rsid w:val="00A60F81"/>
    <w:rsid w:val="00A76D98"/>
    <w:rsid w:val="00AC3320"/>
    <w:rsid w:val="00AC3E90"/>
    <w:rsid w:val="00AE0F6E"/>
    <w:rsid w:val="00AE2B82"/>
    <w:rsid w:val="00AE6361"/>
    <w:rsid w:val="00B10501"/>
    <w:rsid w:val="00B41C47"/>
    <w:rsid w:val="00B54A98"/>
    <w:rsid w:val="00B60578"/>
    <w:rsid w:val="00BB0449"/>
    <w:rsid w:val="00BD5468"/>
    <w:rsid w:val="00C17D09"/>
    <w:rsid w:val="00C91847"/>
    <w:rsid w:val="00CF0422"/>
    <w:rsid w:val="00CF2025"/>
    <w:rsid w:val="00CF49C5"/>
    <w:rsid w:val="00D03130"/>
    <w:rsid w:val="00D22144"/>
    <w:rsid w:val="00D309BD"/>
    <w:rsid w:val="00D54171"/>
    <w:rsid w:val="00D54E0C"/>
    <w:rsid w:val="00D832CF"/>
    <w:rsid w:val="00DA33C1"/>
    <w:rsid w:val="00DF1FA0"/>
    <w:rsid w:val="00E006E0"/>
    <w:rsid w:val="00E244E2"/>
    <w:rsid w:val="00E661D4"/>
    <w:rsid w:val="00E860E2"/>
    <w:rsid w:val="00E955BA"/>
    <w:rsid w:val="00EB37B4"/>
    <w:rsid w:val="00EE66C0"/>
    <w:rsid w:val="00EF3E3A"/>
    <w:rsid w:val="00F25D4C"/>
    <w:rsid w:val="00F354EF"/>
    <w:rsid w:val="00F57D0C"/>
    <w:rsid w:val="00F70EDF"/>
    <w:rsid w:val="00FC7B12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creator>Administração</dc:creator>
  <cp:lastModifiedBy>Pc</cp:lastModifiedBy>
  <cp:revision>4</cp:revision>
  <cp:lastPrinted>2015-03-26T16:19:00Z</cp:lastPrinted>
  <dcterms:created xsi:type="dcterms:W3CDTF">2015-03-26T16:21:00Z</dcterms:created>
  <dcterms:modified xsi:type="dcterms:W3CDTF">2015-03-26T16:40:00Z</dcterms:modified>
</cp:coreProperties>
</file>